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760"/>
        <w:tblGridChange w:id="0">
          <w:tblGrid>
            <w:gridCol w:w="2865"/>
            <w:gridCol w:w="5760"/>
          </w:tblGrid>
        </w:tblGridChange>
      </w:tblGrid>
      <w:tr>
        <w:trPr>
          <w:cantSplit w:val="0"/>
          <w:trHeight w:val="1063.4326171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4">
            <w:pPr>
              <w:ind w:left="320" w:firstLine="0"/>
              <w:rPr>
                <w:b w:val="1"/>
                <w:bCs w:val="1"/>
              </w:rPr>
            </w:pPr>
            <w:r w:rsidDel="00000000" w:rsidR="00000000" w:rsidRPr="00000000">
              <w:rPr>
                <w:b w:val="1"/>
                <w:bCs w:val="1"/>
                <w:rtl w:val="0"/>
              </w:rPr>
              <w:t xml:space="preserve">Abstract Title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highlight w:val="white"/>
                <w:rtl w:val="0"/>
              </w:rPr>
              <w:t xml:space="preserve">Screening Outcomes and Referral Rates of Refractive Error Among Standard One Primary School Children in Hilir Perak Using the Rapid Assessment Visual Acuity Chart (RAVAC)</w:t>
            </w: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 </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ind w:right="140"/>
              <w:jc w:val="right"/>
              <w:rPr>
                <w:b w:val="1"/>
                <w:bCs w:val="1"/>
              </w:rPr>
            </w:pPr>
            <w:r w:rsidDel="00000000" w:rsidR="00000000" w:rsidRPr="00000000">
              <w:rPr>
                <w:b w:val="1"/>
                <w:bCs w:val="1"/>
                <w:rtl w:val="0"/>
              </w:rPr>
              <w:t xml:space="preserve">Presenting author &amp; co-authors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i w:val="1"/>
                <w:iCs w:val="1"/>
                <w:u w:val="single"/>
                <w:rtl w:val="0"/>
              </w:rPr>
              <w:t xml:space="preserve">Nur Alyza Haji Yusuf</w:t>
            </w:r>
            <w:r w:rsidDel="00000000" w:rsidR="00000000" w:rsidRPr="00000000">
              <w:rPr>
                <w:i w:val="1"/>
                <w:iCs w:val="1"/>
                <w:rtl w:val="0"/>
              </w:rPr>
              <w:t xml:space="preserve"> </w:t>
            </w:r>
            <w:r w:rsidDel="00000000" w:rsidR="00000000" w:rsidRPr="00000000">
              <w:rPr>
                <w:i w:val="1"/>
                <w:iCs w:val="1"/>
                <w:vertAlign w:val="superscript"/>
                <w:rtl w:val="0"/>
              </w:rPr>
              <w:t xml:space="preserve">1</w:t>
            </w:r>
            <w:r w:rsidDel="00000000" w:rsidR="00000000" w:rsidRPr="00000000">
              <w:rPr>
                <w:i w:val="1"/>
                <w:iCs w:val="1"/>
                <w:rtl w:val="0"/>
              </w:rPr>
              <w:t xml:space="preserve">,</w:t>
            </w:r>
            <w:r w:rsidDel="00000000" w:rsidR="00000000" w:rsidRPr="00000000">
              <w:rPr>
                <w:rtl w:val="0"/>
              </w:rPr>
              <w:t xml:space="preserve">Siti Rohani Bt Nurumal</w:t>
            </w:r>
            <w:r w:rsidDel="00000000" w:rsidR="00000000" w:rsidRPr="00000000">
              <w:rPr>
                <w:i w:val="1"/>
                <w:iCs w:val="1"/>
                <w:vertAlign w:val="superscript"/>
                <w:rtl w:val="0"/>
              </w:rPr>
              <w:t xml:space="preserve">1</w:t>
            </w:r>
            <w:r w:rsidDel="00000000" w:rsidR="00000000" w:rsidRPr="00000000">
              <w:rPr>
                <w:rtl w:val="0"/>
              </w:rPr>
              <w:t xml:space="preserve">, Thinakaran A/L Kandiah</w:t>
            </w:r>
            <w:r w:rsidDel="00000000" w:rsidR="00000000" w:rsidRPr="00000000">
              <w:rPr>
                <w:i w:val="1"/>
                <w:iCs w:val="1"/>
                <w:vertAlign w:val="superscript"/>
                <w:rtl w:val="0"/>
              </w:rPr>
              <w:t xml:space="preserve">1</w:t>
            </w:r>
            <w:r w:rsidDel="00000000" w:rsidR="00000000" w:rsidRPr="00000000">
              <w:rPr>
                <w:rtl w:val="0"/>
              </w:rPr>
              <w:t xml:space="preserve">, Suriata Binti Daud </w:t>
            </w:r>
            <w:r w:rsidDel="00000000" w:rsidR="00000000" w:rsidRPr="00000000">
              <w:rPr>
                <w:i w:val="1"/>
                <w:iCs w:val="1"/>
                <w:vertAlign w:val="superscript"/>
                <w:rtl w:val="0"/>
              </w:rPr>
              <w:t xml:space="preserve">1</w:t>
            </w:r>
            <w:r w:rsidDel="00000000" w:rsidR="00000000" w:rsidRPr="00000000">
              <w:rPr>
                <w:rtl w:val="0"/>
              </w:rPr>
              <w:t xml:space="preserve">,</w:t>
            </w:r>
            <w:r w:rsidDel="00000000" w:rsidR="00000000" w:rsidRPr="00000000">
              <w:rPr>
                <w:rtl w:val="0"/>
              </w:rPr>
              <w:t xml:space="preserve">Azizah binti ab razak</w:t>
            </w:r>
            <w:r w:rsidDel="00000000" w:rsidR="00000000" w:rsidRPr="00000000">
              <w:rPr>
                <w:i w:val="1"/>
                <w:iCs w:val="1"/>
                <w:vertAlign w:val="superscript"/>
                <w:rtl w:val="0"/>
              </w:rPr>
              <w:t xml:space="preserve">1</w:t>
            </w:r>
            <w:r w:rsidDel="00000000" w:rsidR="00000000" w:rsidRPr="00000000">
              <w:rPr>
                <w:rtl w:val="0"/>
              </w:rPr>
            </w:r>
          </w:p>
          <w:p w:rsidR="00000000" w:rsidDel="00000000" w:rsidP="00000000" w:rsidRDefault="00000000" w:rsidRPr="00000000" w14:paraId="00000009">
            <w:pPr>
              <w:spacing w:after="240" w:before="240" w:lineRule="auto"/>
              <w:rPr>
                <w:i w:val="1"/>
                <w:iCs w:val="1"/>
              </w:rPr>
            </w:pPr>
            <w:r w:rsidDel="00000000" w:rsidR="00000000" w:rsidRPr="00000000">
              <w:rPr>
                <w:rtl w:val="0"/>
              </w:rPr>
            </w:r>
          </w:p>
          <w:p w:rsidR="00000000" w:rsidDel="00000000" w:rsidP="00000000" w:rsidRDefault="00000000" w:rsidRPr="00000000" w14:paraId="0000000A">
            <w:pPr>
              <w:ind w:left="340" w:right="500" w:firstLine="20"/>
              <w:rPr/>
            </w:pPr>
            <w:r w:rsidDel="00000000" w:rsidR="00000000" w:rsidRPr="00000000">
              <w:rPr>
                <w:rtl w:val="0"/>
              </w:rPr>
              <w:t xml:space="preserve"> </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ind w:left="320" w:firstLine="0"/>
              <w:rPr>
                <w:b w:val="1"/>
                <w:bCs w:val="1"/>
              </w:rPr>
            </w:pPr>
            <w:r w:rsidDel="00000000" w:rsidR="00000000" w:rsidRPr="00000000">
              <w:rPr>
                <w:b w:val="1"/>
                <w:bCs w:val="1"/>
                <w:rtl w:val="0"/>
              </w:rPr>
              <w:t xml:space="preserve">Affiliation of all authors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Rule="auto"/>
              <w:rPr>
                <w:i w:val="1"/>
                <w:iCs w:val="1"/>
              </w:rPr>
            </w:pPr>
            <w:r w:rsidDel="00000000" w:rsidR="00000000" w:rsidRPr="00000000">
              <w:rPr>
                <w:i w:val="1"/>
                <w:iCs w:val="1"/>
                <w:rtl w:val="0"/>
              </w:rPr>
              <w:t xml:space="preserve">Pejabat Kesihatan Daerah Hilir Perak</w:t>
            </w:r>
            <w:r w:rsidDel="00000000" w:rsidR="00000000" w:rsidRPr="00000000">
              <w:rPr>
                <w:i w:val="1"/>
                <w:iCs w:val="1"/>
                <w:rtl w:val="0"/>
              </w:rPr>
              <w:t xml:space="preserve">, Teluk Intan, Perak, Malaysia.</w:t>
            </w:r>
          </w:p>
          <w:p w:rsidR="00000000" w:rsidDel="00000000" w:rsidP="00000000" w:rsidRDefault="00000000" w:rsidRPr="00000000" w14:paraId="0000000D">
            <w:pPr>
              <w:spacing w:after="240" w:before="240" w:lineRule="auto"/>
              <w:rPr/>
            </w:pPr>
            <w:r w:rsidDel="00000000" w:rsidR="00000000" w:rsidRPr="00000000">
              <w:rPr>
                <w:rtl w:val="0"/>
              </w:rPr>
              <w:t xml:space="preserve"> </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ind w:left="320" w:firstLine="0"/>
              <w:rPr>
                <w:b w:val="1"/>
                <w:bCs w:val="1"/>
              </w:rPr>
            </w:pPr>
            <w:r w:rsidDel="00000000" w:rsidR="00000000" w:rsidRPr="00000000">
              <w:rPr>
                <w:b w:val="1"/>
                <w:bCs w:val="1"/>
                <w:rtl w:val="0"/>
              </w:rPr>
              <w:t xml:space="preserve">NMRR number: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ind w:right="-372.4015748031485"/>
              <w:rPr>
                <w:i w:val="1"/>
                <w:iCs w:val="1"/>
                <w:u w:val="single"/>
              </w:rPr>
            </w:pPr>
            <w:r w:rsidDel="00000000" w:rsidR="00000000" w:rsidRPr="00000000">
              <w:rPr>
                <w:highlight w:val="white"/>
                <w:rtl w:val="0"/>
              </w:rPr>
              <w:t xml:space="preserve">NMRR ID : 25-02025-X9K</w:t>
            </w:r>
            <w:r w:rsidDel="00000000" w:rsidR="00000000" w:rsidRPr="00000000">
              <w:rPr>
                <w:rtl w:val="0"/>
              </w:rPr>
            </w:r>
          </w:p>
        </w:tc>
      </w:tr>
      <w:tr>
        <w:trPr>
          <w:cantSplit w:val="0"/>
          <w:trHeight w:val="20955" w:hRule="atLeast"/>
          <w:tblHeader w:val="0"/>
        </w:trPr>
        <w:tc>
          <w:tcPr>
            <w:gridSpan w:val="2"/>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highlight w:val="white"/>
              </w:rPr>
            </w:pPr>
            <w:r w:rsidDel="00000000" w:rsidR="00000000" w:rsidRPr="00000000">
              <w:rPr>
                <w:b w:val="1"/>
                <w:bCs w:val="1"/>
                <w:highlight w:val="white"/>
                <w:rtl w:val="0"/>
              </w:rPr>
              <w:t xml:space="preserve">Introduction:</w:t>
            </w:r>
            <w:r w:rsidDel="00000000" w:rsidR="00000000" w:rsidRPr="00000000">
              <w:rPr>
                <w:highlight w:val="white"/>
                <w:rtl w:val="0"/>
              </w:rPr>
              <w:t xml:space="preserve"> Uncorrected refractive errors are a leading cause of treatable childhood visual impairment, significantly hindering students' classroom participation and long-term educational potential. To improve early detection, the Rapid Assessment Visual Acuity Chart (RAVAC) was developed to replace the traditional Snellen chart, providing a faster and validated screening alternative for school health teams.</w:t>
            </w:r>
          </w:p>
          <w:p w:rsidR="00000000" w:rsidDel="00000000" w:rsidP="00000000" w:rsidRDefault="00000000" w:rsidRPr="00000000" w14:paraId="00000012">
            <w:pPr>
              <w:rPr>
                <w:highlight w:val="white"/>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highlight w:val="white"/>
                <w:rtl w:val="0"/>
              </w:rPr>
              <w:t xml:space="preserve">Methodology:</w:t>
            </w:r>
            <w:r w:rsidDel="00000000" w:rsidR="00000000" w:rsidRPr="00000000">
              <w:rPr>
                <w:highlight w:val="white"/>
                <w:rtl w:val="0"/>
              </w:rPr>
              <w:t xml:space="preserve"> </w:t>
            </w:r>
            <w:r w:rsidDel="00000000" w:rsidR="00000000" w:rsidRPr="00000000">
              <w:rPr>
                <w:highlight w:val="white"/>
                <w:rtl w:val="0"/>
              </w:rPr>
              <w:t xml:space="preserve">A school-based retrospective cross-sectional study was performed from January 2024 to December 2024 on Standard 1 in primary schools in the PKD Hilir Perak school team.  Visual acuity assessment was measured using Rapid Assessment Visual Acuity Chart (RAVAC) Test. </w:t>
            </w:r>
            <w:r w:rsidDel="00000000" w:rsidR="00000000" w:rsidRPr="00000000">
              <w:rPr>
                <w:rtl w:val="0"/>
              </w:rPr>
              <w:t xml:space="preserve">Inclusion criteria for this study encompassed all selected primary school children from Standard 1 in the district of Hilir Perak, and with consent given by parents or guardians and exclusion criteria included students who were already on ophthalmology follow-up for known ocular conditions, were absent from school on the examination day, refused visual acuity assessment or eye examination, and were inconsistent in visual acuity assessment after 3 attempts.The outcome of the RAVAC test either has refractive error or not will be asked after their check up and referral.Data of  RAVAC test will be taken from 1/1/2024 until 31/12/2024 and time point frame of RAVAC outcome  from 1/1/25 until 31/7/2025. </w:t>
            </w:r>
          </w:p>
          <w:p w:rsidR="00000000" w:rsidDel="00000000" w:rsidP="00000000" w:rsidRDefault="00000000" w:rsidRPr="00000000" w14:paraId="00000014">
            <w:pPr>
              <w:rPr>
                <w:highlight w:val="white"/>
              </w:rPr>
            </w:pPr>
            <w:r w:rsidDel="00000000" w:rsidR="00000000" w:rsidRPr="00000000">
              <w:rPr>
                <w:rtl w:val="0"/>
              </w:rPr>
            </w:r>
          </w:p>
          <w:p w:rsidR="00000000" w:rsidDel="00000000" w:rsidP="00000000" w:rsidRDefault="00000000" w:rsidRPr="00000000" w14:paraId="00000015">
            <w:pPr>
              <w:rPr>
                <w:highlight w:val="white"/>
              </w:rPr>
            </w:pPr>
            <w:r w:rsidDel="00000000" w:rsidR="00000000" w:rsidRPr="00000000">
              <w:rPr>
                <w:b w:val="1"/>
                <w:bCs w:val="1"/>
                <w:highlight w:val="white"/>
                <w:rtl w:val="0"/>
              </w:rPr>
              <w:t xml:space="preserve">Result:</w:t>
            </w:r>
            <w:r w:rsidDel="00000000" w:rsidR="00000000" w:rsidRPr="00000000">
              <w:rPr>
                <w:highlight w:val="white"/>
                <w:rtl w:val="0"/>
              </w:rPr>
              <w:t xml:space="preserve"> The study successfully screened </w:t>
            </w:r>
            <w:r w:rsidDel="00000000" w:rsidR="00000000" w:rsidRPr="00000000">
              <w:rPr>
                <w:b w:val="1"/>
                <w:bCs w:val="1"/>
                <w:highlight w:val="white"/>
                <w:rtl w:val="0"/>
              </w:rPr>
              <w:t xml:space="preserve">1,119 students</w:t>
            </w:r>
            <w:r w:rsidDel="00000000" w:rsidR="00000000" w:rsidRPr="00000000">
              <w:rPr>
                <w:highlight w:val="white"/>
                <w:rtl w:val="0"/>
              </w:rPr>
              <w:t xml:space="preserve">, featuring a balanced demographic of 50.8% males and 49.2% females. Screening outcomes showed a </w:t>
            </w:r>
            <w:r w:rsidDel="00000000" w:rsidR="00000000" w:rsidRPr="00000000">
              <w:rPr>
                <w:b w:val="1"/>
                <w:bCs w:val="1"/>
                <w:highlight w:val="white"/>
                <w:rtl w:val="0"/>
              </w:rPr>
              <w:t xml:space="preserve">9.9% referral prevalence</w:t>
            </w:r>
            <w:r w:rsidDel="00000000" w:rsidR="00000000" w:rsidRPr="00000000">
              <w:rPr>
                <w:highlight w:val="white"/>
                <w:rtl w:val="0"/>
              </w:rPr>
              <w:t xml:space="preserve">, flagging 111 students for professional optometric evaluation. Within this referred cohort, </w:t>
            </w:r>
            <w:r w:rsidDel="00000000" w:rsidR="00000000" w:rsidRPr="00000000">
              <w:rPr>
                <w:b w:val="1"/>
                <w:bCs w:val="1"/>
                <w:highlight w:val="white"/>
                <w:rtl w:val="0"/>
              </w:rPr>
              <w:t xml:space="preserve">53.2% (59 students)</w:t>
            </w:r>
            <w:r w:rsidDel="00000000" w:rsidR="00000000" w:rsidRPr="00000000">
              <w:rPr>
                <w:highlight w:val="white"/>
                <w:rtl w:val="0"/>
              </w:rPr>
              <w:t xml:space="preserve"> specifically failed the RAVAC screening test, while </w:t>
            </w:r>
            <w:r w:rsidDel="00000000" w:rsidR="00000000" w:rsidRPr="00000000">
              <w:rPr>
                <w:b w:val="1"/>
                <w:bCs w:val="1"/>
                <w:highlight w:val="white"/>
                <w:rtl w:val="0"/>
              </w:rPr>
              <w:t xml:space="preserve">42.3% (47 students)</w:t>
            </w:r>
            <w:r w:rsidDel="00000000" w:rsidR="00000000" w:rsidRPr="00000000">
              <w:rPr>
                <w:highlight w:val="white"/>
                <w:rtl w:val="0"/>
              </w:rPr>
              <w:t xml:space="preserve"> were already wearing corrective lenses at the time of assessment.</w:t>
            </w:r>
          </w:p>
          <w:p w:rsidR="00000000" w:rsidDel="00000000" w:rsidP="00000000" w:rsidRDefault="00000000" w:rsidRPr="00000000" w14:paraId="00000016">
            <w:pPr>
              <w:rPr>
                <w:highlight w:val="white"/>
              </w:rPr>
            </w:pPr>
            <w:r w:rsidDel="00000000" w:rsidR="00000000" w:rsidRPr="00000000">
              <w:rPr>
                <w:rtl w:val="0"/>
              </w:rPr>
            </w:r>
          </w:p>
          <w:p w:rsidR="00000000" w:rsidDel="00000000" w:rsidP="00000000" w:rsidRDefault="00000000" w:rsidRPr="00000000" w14:paraId="00000017">
            <w:pPr>
              <w:rPr>
                <w:highlight w:val="white"/>
              </w:rPr>
            </w:pPr>
            <w:r w:rsidDel="00000000" w:rsidR="00000000" w:rsidRPr="00000000">
              <w:rPr>
                <w:b w:val="1"/>
                <w:bCs w:val="1"/>
                <w:highlight w:val="white"/>
                <w:rtl w:val="0"/>
              </w:rPr>
              <w:t xml:space="preserve">Conclusion:</w:t>
            </w:r>
            <w:r w:rsidDel="00000000" w:rsidR="00000000" w:rsidRPr="00000000">
              <w:rPr>
                <w:highlight w:val="white"/>
                <w:rtl w:val="0"/>
              </w:rPr>
              <w:t xml:space="preserve"> RAVAC serves as a highly efficient and practical tool for identifying refractive errors in early education settings. By reliably flagging nearly one in ten students for necessary eye care, RAVAC facilitates crucial early interventions that support children's learning capabilities and aligns seamlessly with the WHO's Vision 2020 initiative to ensure every child's right to good vision.</w:t>
            </w:r>
          </w:p>
          <w:p w:rsidR="00000000" w:rsidDel="00000000" w:rsidP="00000000" w:rsidRDefault="00000000" w:rsidRPr="00000000" w14:paraId="00000018">
            <w:pPr>
              <w:spacing w:after="240" w:before="240" w:lineRule="auto"/>
              <w:rPr>
                <w:b w:val="1"/>
                <w:bCs w:val="1"/>
                <w:u w:val="single"/>
              </w:rPr>
            </w:pPr>
            <w:r w:rsidDel="00000000" w:rsidR="00000000" w:rsidRPr="00000000">
              <w:rPr>
                <w:rtl w:val="0"/>
              </w:rPr>
            </w:r>
          </w:p>
        </w:tc>
      </w:tr>
    </w:tbl>
    <w:p w:rsidR="00000000" w:rsidDel="00000000" w:rsidP="00000000" w:rsidRDefault="00000000" w:rsidRPr="00000000" w14:paraId="0000001A">
      <w:pPr>
        <w:spacing w:after="240" w:before="240" w:lineRule="auto"/>
        <w:rPr/>
      </w:pPr>
      <w:r w:rsidDel="00000000" w:rsidR="00000000" w:rsidRPr="00000000">
        <w:rPr>
          <w:rtl w:val="0"/>
        </w:rPr>
        <w:t xml:space="preserve"> </w:t>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