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3D364" w14:textId="77777777" w:rsidR="00C6360E" w:rsidRDefault="009B37F6">
      <w:pPr>
        <w:spacing w:before="240" w:after="240"/>
        <w:jc w:val="both"/>
        <w:rPr>
          <w:b/>
          <w:bCs/>
          <w:sz w:val="28"/>
          <w:szCs w:val="28"/>
        </w:rPr>
      </w:pPr>
      <w:r>
        <w:rPr>
          <w:b/>
          <w:bCs/>
          <w:sz w:val="28"/>
          <w:szCs w:val="28"/>
        </w:rPr>
        <w:t>Prevalence, Sociodemographic Patterns, and Clinical Distribution of Probable Anti-Mia Red Blood Cell Antibodies: A Retrospective Multi-Center Study in Peninsular Malaysia</w:t>
      </w:r>
    </w:p>
    <w:p w14:paraId="31419EBC" w14:textId="77777777" w:rsidR="00C6360E" w:rsidRDefault="009B37F6">
      <w:pPr>
        <w:spacing w:line="240" w:lineRule="auto"/>
        <w:jc w:val="both"/>
        <w:rPr>
          <w:sz w:val="20"/>
          <w:szCs w:val="20"/>
          <w:vertAlign w:val="superscript"/>
        </w:rPr>
      </w:pPr>
      <w:r>
        <w:rPr>
          <w:sz w:val="20"/>
          <w:szCs w:val="20"/>
          <w:u w:val="single"/>
        </w:rPr>
        <w:t>Nur Hanisah HAMDAN</w:t>
      </w:r>
      <w:r>
        <w:rPr>
          <w:sz w:val="20"/>
          <w:szCs w:val="20"/>
          <w:u w:val="single"/>
          <w:vertAlign w:val="superscript"/>
        </w:rPr>
        <w:t>1</w:t>
      </w:r>
      <w:r>
        <w:rPr>
          <w:sz w:val="20"/>
          <w:szCs w:val="20"/>
        </w:rPr>
        <w:t>, Pei Pei TAN</w:t>
      </w:r>
      <w:r>
        <w:rPr>
          <w:sz w:val="20"/>
          <w:szCs w:val="20"/>
          <w:vertAlign w:val="superscript"/>
        </w:rPr>
        <w:t>1</w:t>
      </w:r>
      <w:r>
        <w:rPr>
          <w:sz w:val="20"/>
          <w:szCs w:val="20"/>
        </w:rPr>
        <w:t>, Sabariah MOHD NOOR</w:t>
      </w:r>
      <w:r>
        <w:rPr>
          <w:sz w:val="20"/>
          <w:szCs w:val="20"/>
          <w:vertAlign w:val="superscript"/>
        </w:rPr>
        <w:t>1</w:t>
      </w:r>
      <w:r>
        <w:rPr>
          <w:sz w:val="20"/>
          <w:szCs w:val="20"/>
        </w:rPr>
        <w:t>, Nurul Izzati MOHD</w:t>
      </w:r>
      <w:r>
        <w:rPr>
          <w:sz w:val="20"/>
          <w:szCs w:val="20"/>
          <w:lang w:val="en-MY"/>
        </w:rPr>
        <w:t xml:space="preserve"> </w:t>
      </w:r>
      <w:r>
        <w:rPr>
          <w:sz w:val="20"/>
          <w:szCs w:val="20"/>
        </w:rPr>
        <w:t>FOHAD</w:t>
      </w:r>
      <w:r>
        <w:rPr>
          <w:sz w:val="20"/>
          <w:szCs w:val="20"/>
          <w:vertAlign w:val="superscript"/>
        </w:rPr>
        <w:t>1</w:t>
      </w:r>
      <w:r>
        <w:rPr>
          <w:sz w:val="20"/>
          <w:szCs w:val="20"/>
        </w:rPr>
        <w:t xml:space="preserve"> Salman MOHD SAHID</w:t>
      </w:r>
      <w:r>
        <w:rPr>
          <w:sz w:val="20"/>
          <w:szCs w:val="20"/>
          <w:vertAlign w:val="superscript"/>
        </w:rPr>
        <w:t>3</w:t>
      </w:r>
      <w:r>
        <w:rPr>
          <w:sz w:val="20"/>
          <w:szCs w:val="20"/>
        </w:rPr>
        <w:t>, Nor Amiza MAT AMIN</w:t>
      </w:r>
      <w:r>
        <w:rPr>
          <w:sz w:val="20"/>
          <w:szCs w:val="20"/>
          <w:vertAlign w:val="superscript"/>
        </w:rPr>
        <w:t>4</w:t>
      </w:r>
      <w:r>
        <w:rPr>
          <w:sz w:val="20"/>
          <w:szCs w:val="20"/>
        </w:rPr>
        <w:t>, Chii-Chii CHEW</w:t>
      </w:r>
      <w:r>
        <w:rPr>
          <w:sz w:val="20"/>
          <w:szCs w:val="20"/>
          <w:vertAlign w:val="superscript"/>
        </w:rPr>
        <w:t>5</w:t>
      </w:r>
    </w:p>
    <w:p w14:paraId="3D73726E" w14:textId="77777777" w:rsidR="00C6360E" w:rsidRDefault="00C6360E">
      <w:pPr>
        <w:spacing w:line="240" w:lineRule="auto"/>
        <w:jc w:val="both"/>
        <w:rPr>
          <w:sz w:val="20"/>
          <w:szCs w:val="20"/>
        </w:rPr>
      </w:pPr>
    </w:p>
    <w:p w14:paraId="10F9C187" w14:textId="77777777" w:rsidR="00C6360E" w:rsidRDefault="009B37F6">
      <w:pPr>
        <w:spacing w:line="240" w:lineRule="auto"/>
        <w:jc w:val="both"/>
        <w:rPr>
          <w:sz w:val="20"/>
          <w:szCs w:val="20"/>
        </w:rPr>
      </w:pPr>
      <w:r>
        <w:rPr>
          <w:sz w:val="20"/>
          <w:szCs w:val="20"/>
          <w:vertAlign w:val="superscript"/>
        </w:rPr>
        <w:t>1</w:t>
      </w:r>
      <w:r>
        <w:rPr>
          <w:sz w:val="20"/>
          <w:szCs w:val="20"/>
        </w:rPr>
        <w:t xml:space="preserve">Transfusion Medicine Department, Hospital Raja Permaisuri Bainun, Ministry of Health Malaysia, Ipoh, Perak, Malaysia. </w:t>
      </w:r>
    </w:p>
    <w:p w14:paraId="58820A2B" w14:textId="77777777" w:rsidR="00C6360E" w:rsidRDefault="009B37F6">
      <w:pPr>
        <w:spacing w:line="240" w:lineRule="auto"/>
        <w:jc w:val="both"/>
        <w:rPr>
          <w:sz w:val="20"/>
          <w:szCs w:val="20"/>
        </w:rPr>
      </w:pPr>
      <w:r>
        <w:rPr>
          <w:sz w:val="20"/>
          <w:szCs w:val="20"/>
          <w:vertAlign w:val="superscript"/>
        </w:rPr>
        <w:t>2</w:t>
      </w:r>
      <w:r>
        <w:rPr>
          <w:sz w:val="20"/>
          <w:szCs w:val="20"/>
        </w:rPr>
        <w:t>Transfusion Medicine Department, Hospital Raja Perempuan Zainab II, Ministry of Health Malaysia, Kota Bharu, Kelantan, Malaysia.</w:t>
      </w:r>
    </w:p>
    <w:p w14:paraId="0FCD0152" w14:textId="77777777" w:rsidR="00C6360E" w:rsidRDefault="009B37F6">
      <w:pPr>
        <w:spacing w:line="240" w:lineRule="auto"/>
        <w:jc w:val="both"/>
        <w:rPr>
          <w:sz w:val="20"/>
          <w:szCs w:val="20"/>
        </w:rPr>
      </w:pPr>
      <w:r>
        <w:rPr>
          <w:sz w:val="20"/>
          <w:szCs w:val="20"/>
          <w:vertAlign w:val="superscript"/>
        </w:rPr>
        <w:t>3</w:t>
      </w:r>
      <w:r>
        <w:rPr>
          <w:sz w:val="20"/>
          <w:szCs w:val="20"/>
        </w:rPr>
        <w:t xml:space="preserve">Transfusion Medicine Department, Hospital Tengku Ampuan Afzan, Ministry of Health Malaysia, Kuantan, Pahang, Malaysia. </w:t>
      </w:r>
    </w:p>
    <w:p w14:paraId="46B85745" w14:textId="77777777" w:rsidR="00C6360E" w:rsidRDefault="009B37F6">
      <w:pPr>
        <w:spacing w:line="240" w:lineRule="auto"/>
        <w:jc w:val="both"/>
        <w:rPr>
          <w:sz w:val="20"/>
          <w:szCs w:val="20"/>
        </w:rPr>
      </w:pPr>
      <w:r>
        <w:rPr>
          <w:sz w:val="20"/>
          <w:szCs w:val="20"/>
          <w:vertAlign w:val="superscript"/>
        </w:rPr>
        <w:t>4</w:t>
      </w:r>
      <w:r>
        <w:rPr>
          <w:sz w:val="20"/>
          <w:szCs w:val="20"/>
        </w:rPr>
        <w:t xml:space="preserve">Transfusion Medicine Department, Hospital Melaka, Ministry of Health Malaysia, Malaka, Malaysia. </w:t>
      </w:r>
    </w:p>
    <w:p w14:paraId="28F8B98D" w14:textId="77777777" w:rsidR="00C6360E" w:rsidRDefault="009B37F6">
      <w:pPr>
        <w:spacing w:line="240" w:lineRule="auto"/>
        <w:jc w:val="both"/>
        <w:rPr>
          <w:sz w:val="20"/>
          <w:szCs w:val="20"/>
        </w:rPr>
      </w:pPr>
      <w:r>
        <w:rPr>
          <w:sz w:val="20"/>
          <w:szCs w:val="20"/>
          <w:vertAlign w:val="superscript"/>
        </w:rPr>
        <w:t>5</w:t>
      </w:r>
      <w:r>
        <w:rPr>
          <w:sz w:val="20"/>
          <w:szCs w:val="20"/>
        </w:rPr>
        <w:t xml:space="preserve">Clinical Research Centre, Hospital Raja Permaisuri Bainun, Institute for Clinical Research, National Institute of Health, Ministry of Health Malaysia, Ipoh, Perak, Malaysia. </w:t>
      </w:r>
    </w:p>
    <w:p w14:paraId="68F314A3" w14:textId="77777777" w:rsidR="00C6360E" w:rsidRDefault="00C6360E">
      <w:pPr>
        <w:rPr>
          <w:b/>
          <w:bCs/>
          <w:sz w:val="20"/>
          <w:szCs w:val="20"/>
        </w:rPr>
      </w:pPr>
    </w:p>
    <w:p w14:paraId="506B96D1" w14:textId="77777777" w:rsidR="00C6360E" w:rsidRDefault="009B37F6">
      <w:pPr>
        <w:rPr>
          <w:b/>
          <w:bCs/>
          <w:sz w:val="20"/>
          <w:szCs w:val="20"/>
        </w:rPr>
      </w:pPr>
      <w:r>
        <w:rPr>
          <w:b/>
          <w:bCs/>
          <w:sz w:val="20"/>
          <w:szCs w:val="20"/>
        </w:rPr>
        <w:t>Introduction:</w:t>
      </w:r>
    </w:p>
    <w:p w14:paraId="4A85B574" w14:textId="77777777" w:rsidR="00C6360E" w:rsidRDefault="00C6360E">
      <w:pPr>
        <w:rPr>
          <w:b/>
          <w:bCs/>
          <w:sz w:val="20"/>
          <w:szCs w:val="20"/>
        </w:rPr>
      </w:pPr>
    </w:p>
    <w:p w14:paraId="068F01B4" w14:textId="77777777" w:rsidR="00C6360E" w:rsidRDefault="009B37F6">
      <w:pPr>
        <w:jc w:val="both"/>
        <w:rPr>
          <w:sz w:val="20"/>
          <w:szCs w:val="20"/>
        </w:rPr>
      </w:pPr>
      <w:r>
        <w:rPr>
          <w:sz w:val="20"/>
          <w:szCs w:val="20"/>
        </w:rPr>
        <w:t xml:space="preserve">The MNS blood group antigen Mia (and its associated GP.Mur phenotype) is highly prevalent in Southeast Asian populations, making Anti-Mia a clinically significant alloantibody of concern for blood transfusion safety and obstetric care in Malaysia. Despite its clinical relevance in causing hemolytic transfusion reactions and hemolytic disease of the fetus and newborn (HDFN), large-scale multi-center data focusing specifically on this cohort </w:t>
      </w:r>
      <w:r>
        <w:rPr>
          <w:sz w:val="20"/>
          <w:szCs w:val="20"/>
          <w:lang w:val="en-MY"/>
        </w:rPr>
        <w:t>remain</w:t>
      </w:r>
      <w:r>
        <w:rPr>
          <w:sz w:val="20"/>
          <w:szCs w:val="20"/>
        </w:rPr>
        <w:t xml:space="preserve"> limited.  </w:t>
      </w:r>
    </w:p>
    <w:p w14:paraId="374112B5" w14:textId="77777777" w:rsidR="00C6360E" w:rsidRDefault="00C6360E">
      <w:pPr>
        <w:jc w:val="both"/>
        <w:rPr>
          <w:sz w:val="20"/>
          <w:szCs w:val="20"/>
        </w:rPr>
      </w:pPr>
    </w:p>
    <w:p w14:paraId="56778C0F" w14:textId="77777777" w:rsidR="00C6360E" w:rsidRDefault="009B37F6">
      <w:pPr>
        <w:jc w:val="both"/>
        <w:rPr>
          <w:b/>
          <w:bCs/>
          <w:sz w:val="20"/>
          <w:szCs w:val="20"/>
        </w:rPr>
      </w:pPr>
      <w:r>
        <w:rPr>
          <w:b/>
          <w:bCs/>
          <w:sz w:val="20"/>
          <w:szCs w:val="20"/>
        </w:rPr>
        <w:t>Aims:</w:t>
      </w:r>
    </w:p>
    <w:p w14:paraId="43450147" w14:textId="77777777" w:rsidR="00C6360E" w:rsidRDefault="00C6360E">
      <w:pPr>
        <w:jc w:val="both"/>
        <w:rPr>
          <w:b/>
          <w:bCs/>
          <w:sz w:val="20"/>
          <w:szCs w:val="20"/>
        </w:rPr>
      </w:pPr>
    </w:p>
    <w:p w14:paraId="494ED4DD" w14:textId="77777777" w:rsidR="00C6360E" w:rsidRDefault="009B37F6">
      <w:pPr>
        <w:jc w:val="both"/>
        <w:rPr>
          <w:sz w:val="20"/>
          <w:szCs w:val="20"/>
        </w:rPr>
      </w:pPr>
      <w:r>
        <w:rPr>
          <w:sz w:val="20"/>
          <w:szCs w:val="20"/>
        </w:rPr>
        <w:t xml:space="preserve">This study aimed to analyze the prevalence, sociodemographic characteristics, and clinical distribution of patients possessing probable Anti-Mia antibodies across four major tertiary referral hospitals in Peninsular Malaysia.  </w:t>
      </w:r>
    </w:p>
    <w:p w14:paraId="7048F47B" w14:textId="77777777" w:rsidR="00C6360E" w:rsidRDefault="00C6360E">
      <w:pPr>
        <w:rPr>
          <w:b/>
          <w:bCs/>
          <w:sz w:val="20"/>
          <w:szCs w:val="20"/>
        </w:rPr>
      </w:pPr>
    </w:p>
    <w:p w14:paraId="39D7F67D" w14:textId="77777777" w:rsidR="00C6360E" w:rsidRDefault="009B37F6">
      <w:pPr>
        <w:rPr>
          <w:b/>
          <w:bCs/>
          <w:sz w:val="20"/>
          <w:szCs w:val="20"/>
        </w:rPr>
      </w:pPr>
      <w:r>
        <w:rPr>
          <w:b/>
          <w:bCs/>
          <w:sz w:val="20"/>
          <w:szCs w:val="20"/>
        </w:rPr>
        <w:t>Methods:</w:t>
      </w:r>
    </w:p>
    <w:p w14:paraId="2D17F127" w14:textId="77777777" w:rsidR="00C6360E" w:rsidRDefault="00C6360E">
      <w:pPr>
        <w:rPr>
          <w:b/>
          <w:bCs/>
          <w:sz w:val="20"/>
          <w:szCs w:val="20"/>
        </w:rPr>
      </w:pPr>
    </w:p>
    <w:p w14:paraId="0A8B338C" w14:textId="62D68F77" w:rsidR="00C6360E" w:rsidRDefault="009B37F6">
      <w:pPr>
        <w:jc w:val="both"/>
        <w:rPr>
          <w:sz w:val="20"/>
          <w:szCs w:val="20"/>
        </w:rPr>
      </w:pPr>
      <w:r>
        <w:rPr>
          <w:sz w:val="20"/>
          <w:szCs w:val="20"/>
        </w:rPr>
        <w:t>A retrospective observational study was conducted utilizing patient records from 2022 to 2023 across four government-funded tertiary care hospitals: Hospital Raja Permaisuri Bainun, Hospital Raja Perempuan Zainab II, Hospital Tengku Ampuan Afzan, and Hospital Melaka. Patient data referred for red blood cell antibody testing were reviewed.</w:t>
      </w:r>
      <w:r w:rsidR="00BB7AC8" w:rsidRPr="006D6FCB">
        <w:rPr>
          <w:sz w:val="20"/>
          <w:szCs w:val="20"/>
        </w:rPr>
        <w:t>To ensure data comparability and consistency across all four participating hospitals, standardized antibody testing and identification protocols were strictly followed by each center</w:t>
      </w:r>
      <w:r w:rsidR="00BB7AC8" w:rsidRPr="006D6FCB">
        <w:rPr>
          <w:b/>
          <w:bCs/>
        </w:rPr>
        <w:t>.</w:t>
      </w:r>
      <w:r>
        <w:rPr>
          <w:sz w:val="20"/>
          <w:szCs w:val="20"/>
        </w:rPr>
        <w:t>Antibody identification was performed using Bio-Rad ID-DiaCell gel cards⁠.</w:t>
      </w:r>
      <w:r w:rsidR="00BB7AC8" w:rsidRPr="00BB7AC8">
        <w:rPr>
          <w:b/>
          <w:bCs/>
        </w:rPr>
        <w:t xml:space="preserve"> </w:t>
      </w:r>
      <w:r w:rsidR="00BB7AC8" w:rsidRPr="006D6FCB">
        <w:rPr>
          <w:sz w:val="20"/>
          <w:szCs w:val="20"/>
        </w:rPr>
        <w:t>The study sample encompassed all patients identified with the target antibody, including those presenting with multiple red blood cell antibodies</w:t>
      </w:r>
      <w:r w:rsidR="00BB7AC8" w:rsidRPr="006D6FCB">
        <w:rPr>
          <w:b/>
          <w:bCs/>
        </w:rPr>
        <w:t>.</w:t>
      </w:r>
      <w:r w:rsidR="00CB36FE">
        <w:rPr>
          <w:b/>
          <w:bCs/>
          <w:lang w:val="en-US"/>
        </w:rPr>
        <w:t xml:space="preserve"> </w:t>
      </w:r>
      <w:r>
        <w:rPr>
          <w:sz w:val="20"/>
          <w:szCs w:val="20"/>
        </w:rPr>
        <w:t xml:space="preserve">Demographics, managing departments, and clinical diagnoses for patients identified with probable Anti-Mia were analyzed descriptively.  </w:t>
      </w:r>
    </w:p>
    <w:p w14:paraId="19453530" w14:textId="77777777" w:rsidR="00C6360E" w:rsidRDefault="00C6360E">
      <w:pPr>
        <w:rPr>
          <w:b/>
          <w:bCs/>
          <w:sz w:val="20"/>
          <w:szCs w:val="20"/>
        </w:rPr>
      </w:pPr>
    </w:p>
    <w:p w14:paraId="0F16362D" w14:textId="77777777" w:rsidR="00C6360E" w:rsidRDefault="009B37F6">
      <w:pPr>
        <w:rPr>
          <w:b/>
          <w:bCs/>
          <w:sz w:val="20"/>
          <w:szCs w:val="20"/>
        </w:rPr>
      </w:pPr>
      <w:r>
        <w:rPr>
          <w:b/>
          <w:bCs/>
          <w:sz w:val="20"/>
          <w:szCs w:val="20"/>
        </w:rPr>
        <w:t>Results:</w:t>
      </w:r>
    </w:p>
    <w:p w14:paraId="6229179D" w14:textId="77777777" w:rsidR="00C6360E" w:rsidRDefault="00C6360E">
      <w:pPr>
        <w:rPr>
          <w:b/>
          <w:bCs/>
          <w:sz w:val="20"/>
          <w:szCs w:val="20"/>
        </w:rPr>
      </w:pPr>
    </w:p>
    <w:p w14:paraId="5D7BD5DF" w14:textId="15FD7663" w:rsidR="00C6360E" w:rsidRDefault="009B37F6">
      <w:pPr>
        <w:jc w:val="both"/>
        <w:rPr>
          <w:sz w:val="20"/>
          <w:szCs w:val="20"/>
        </w:rPr>
      </w:pPr>
      <w:r>
        <w:rPr>
          <w:sz w:val="20"/>
          <w:szCs w:val="20"/>
        </w:rPr>
        <w:t>Out of 4,192 patients with confirmed red blood cell antibodies, a significant cohort of 989 patients (23.6%) presented with probable Anti-Mia. The median age of this cohort was 45 years (IQR: 31–64). A strong female predominance was observed, with 690 females (69.8%</w:t>
      </w:r>
      <w:r w:rsidR="00BB7AC8">
        <w:rPr>
          <w:sz w:val="20"/>
          <w:szCs w:val="20"/>
          <w:lang w:val="en-US"/>
        </w:rPr>
        <w:t>)</w:t>
      </w:r>
      <w:r>
        <w:rPr>
          <w:sz w:val="20"/>
          <w:szCs w:val="20"/>
        </w:rPr>
        <w:t xml:space="preserve"> and 299 males (30.2%). In terms of ethnicity, Malays comprised the majority at 76.1% (n=753), followed by Chinese at 14.3% (n=141), Indians at 8.</w:t>
      </w:r>
      <w:r w:rsidR="00BB7AC8">
        <w:rPr>
          <w:sz w:val="20"/>
          <w:szCs w:val="20"/>
          <w:lang w:val="en-US"/>
        </w:rPr>
        <w:t>5</w:t>
      </w:r>
      <w:r>
        <w:rPr>
          <w:sz w:val="20"/>
          <w:szCs w:val="20"/>
        </w:rPr>
        <w:t>% (n=84), and Orang Asli at 1.1</w:t>
      </w:r>
      <w:r>
        <w:rPr>
          <w:sz w:val="20"/>
          <w:szCs w:val="20"/>
        </w:rPr>
        <w:t xml:space="preserve">% (n=11).The primary referring clinical departments were Medical (36.5%, n=361), Obstetrics &amp; Gynaecology (29.7%, n=294), and Surgical (23.7%, n=234). Analysis of clinical diagnoses revealed that while the majority of cases were associated </w:t>
      </w:r>
      <w:r>
        <w:rPr>
          <w:sz w:val="20"/>
          <w:szCs w:val="20"/>
        </w:rPr>
        <w:lastRenderedPageBreak/>
        <w:t>with one-off acute medical conditions (58.1%, n=575), a substantial proportion occurred in pregnancy (23.7%, n=234). Chronic conditions requiring ongoing transfusion support or clinical monitoring were also prominently featured, including Chronic Kidney Disease (CKD) &amp; En</w:t>
      </w:r>
      <w:r>
        <w:rPr>
          <w:sz w:val="20"/>
          <w:szCs w:val="20"/>
        </w:rPr>
        <w:t>d-Stage Renal Failure (ESRF) (</w:t>
      </w:r>
      <w:r w:rsidR="007C4AAE">
        <w:rPr>
          <w:sz w:val="20"/>
          <w:szCs w:val="20"/>
          <w:lang w:val="en-US"/>
        </w:rPr>
        <w:t>8.0</w:t>
      </w:r>
      <w:r>
        <w:rPr>
          <w:sz w:val="20"/>
          <w:szCs w:val="20"/>
        </w:rPr>
        <w:t>%, n=79), non-hematological oncology (5.</w:t>
      </w:r>
      <w:r w:rsidR="007C4AAE">
        <w:rPr>
          <w:sz w:val="20"/>
          <w:szCs w:val="20"/>
          <w:lang w:val="en-US"/>
        </w:rPr>
        <w:t>7</w:t>
      </w:r>
      <w:r>
        <w:rPr>
          <w:sz w:val="20"/>
          <w:szCs w:val="20"/>
        </w:rPr>
        <w:t>%, n=56), thalassemia (3.0</w:t>
      </w:r>
      <w:r>
        <w:rPr>
          <w:sz w:val="20"/>
          <w:szCs w:val="20"/>
        </w:rPr>
        <w:t>%, n=30), and various hematological malignancies/autoimmune disorders (1.5</w:t>
      </w:r>
      <w:r>
        <w:rPr>
          <w:sz w:val="20"/>
          <w:szCs w:val="20"/>
        </w:rPr>
        <w:t xml:space="preserve">%, n=15).  </w:t>
      </w:r>
    </w:p>
    <w:p w14:paraId="72C8C52B" w14:textId="77777777" w:rsidR="00C6360E" w:rsidRDefault="009B37F6">
      <w:pPr>
        <w:spacing w:before="240" w:after="240"/>
        <w:rPr>
          <w:b/>
          <w:bCs/>
          <w:sz w:val="20"/>
          <w:szCs w:val="20"/>
        </w:rPr>
      </w:pPr>
      <w:r>
        <w:rPr>
          <w:b/>
          <w:bCs/>
          <w:sz w:val="20"/>
          <w:szCs w:val="20"/>
        </w:rPr>
        <w:t>Conclusions:</w:t>
      </w:r>
    </w:p>
    <w:p w14:paraId="1B40F7D0" w14:textId="77777777" w:rsidR="00C6360E" w:rsidRDefault="009B37F6">
      <w:pPr>
        <w:spacing w:before="240" w:after="240"/>
        <w:jc w:val="both"/>
        <w:rPr>
          <w:sz w:val="20"/>
          <w:szCs w:val="20"/>
        </w:rPr>
      </w:pPr>
      <w:r>
        <w:rPr>
          <w:sz w:val="20"/>
          <w:szCs w:val="20"/>
        </w:rPr>
        <w:t>Probable Anti-Mia represents nearly a quarter of all detected red blood cell antibodies in this multi-center Malaysian cohort, highlighting its high regional relevance. The high prevalence among females of reproductive age (29.7% in O&amp;G) underscores the critical need for robust antenatal antibody screening protocols in local clinics to mitigate HDFN risks. Furthermore, its frequent identification in chronically transfused groups, such as CKD/ESRF and oncology patients, emphasizes the necessity of incorporat</w:t>
      </w:r>
      <w:r>
        <w:rPr>
          <w:sz w:val="20"/>
          <w:szCs w:val="20"/>
        </w:rPr>
        <w:t xml:space="preserve">ing Mia-antigen diagnostic tools into routine pre-transfusion testing in Malaysia to prevent transfusion-related morbidity and ensure optimal patient outcomes nationwide.  </w:t>
      </w:r>
    </w:p>
    <w:p w14:paraId="266F9D56" w14:textId="77777777" w:rsidR="00C6360E" w:rsidRDefault="009B37F6">
      <w:pPr>
        <w:jc w:val="both"/>
        <w:rPr>
          <w:sz w:val="20"/>
          <w:szCs w:val="20"/>
        </w:rPr>
      </w:pPr>
      <w:r>
        <w:rPr>
          <w:sz w:val="20"/>
          <w:szCs w:val="20"/>
          <w:lang w:val="en-MY"/>
        </w:rPr>
        <w:t>Keywords</w:t>
      </w:r>
      <w:r>
        <w:rPr>
          <w:sz w:val="20"/>
          <w:szCs w:val="20"/>
        </w:rPr>
        <w:t xml:space="preserve">: Anti- </w:t>
      </w:r>
      <w:proofErr w:type="gramStart"/>
      <w:r>
        <w:rPr>
          <w:sz w:val="20"/>
          <w:szCs w:val="20"/>
        </w:rPr>
        <w:t>Mia ,</w:t>
      </w:r>
      <w:proofErr w:type="gramEnd"/>
      <w:r>
        <w:rPr>
          <w:sz w:val="20"/>
          <w:szCs w:val="20"/>
        </w:rPr>
        <w:t xml:space="preserve"> </w:t>
      </w:r>
      <w:r>
        <w:rPr>
          <w:sz w:val="20"/>
          <w:szCs w:val="20"/>
          <w:lang w:val="en-MY"/>
        </w:rPr>
        <w:t>Malaysian</w:t>
      </w:r>
      <w:r>
        <w:rPr>
          <w:sz w:val="20"/>
          <w:szCs w:val="20"/>
        </w:rPr>
        <w:t xml:space="preserve">, </w:t>
      </w:r>
      <w:proofErr w:type="gramStart"/>
      <w:r>
        <w:rPr>
          <w:sz w:val="20"/>
          <w:szCs w:val="20"/>
        </w:rPr>
        <w:t>pregnancy ,</w:t>
      </w:r>
      <w:proofErr w:type="gramEnd"/>
      <w:r>
        <w:rPr>
          <w:sz w:val="20"/>
          <w:szCs w:val="20"/>
        </w:rPr>
        <w:t xml:space="preserve">  red cell antibodies   </w:t>
      </w:r>
    </w:p>
    <w:p w14:paraId="22F3BD9E" w14:textId="77777777" w:rsidR="00C6360E" w:rsidRDefault="00C6360E">
      <w:pPr>
        <w:jc w:val="both"/>
        <w:rPr>
          <w:sz w:val="20"/>
          <w:szCs w:val="20"/>
        </w:rPr>
      </w:pPr>
    </w:p>
    <w:p w14:paraId="7BBE13E9" w14:textId="77777777" w:rsidR="00C6360E" w:rsidRDefault="009B37F6">
      <w:pPr>
        <w:jc w:val="both"/>
        <w:rPr>
          <w:sz w:val="20"/>
          <w:szCs w:val="20"/>
        </w:rPr>
      </w:pPr>
      <w:r>
        <w:rPr>
          <w:sz w:val="20"/>
          <w:szCs w:val="20"/>
        </w:rPr>
        <w:t xml:space="preserve">NMRR: </w:t>
      </w:r>
      <w:r>
        <w:rPr>
          <w:sz w:val="20"/>
          <w:szCs w:val="20"/>
          <w:highlight w:val="white"/>
        </w:rPr>
        <w:t>NMRR ID-24-03619-KHE</w:t>
      </w:r>
      <w:r>
        <w:rPr>
          <w:sz w:val="20"/>
          <w:szCs w:val="20"/>
        </w:rPr>
        <w:t xml:space="preserve"> </w:t>
      </w:r>
    </w:p>
    <w:p w14:paraId="460ED6B8" w14:textId="77777777" w:rsidR="00C6360E" w:rsidRDefault="00C6360E">
      <w:pPr>
        <w:jc w:val="both"/>
        <w:rPr>
          <w:sz w:val="20"/>
          <w:szCs w:val="20"/>
        </w:rPr>
      </w:pPr>
    </w:p>
    <w:p w14:paraId="42501B19" w14:textId="77777777" w:rsidR="00C6360E" w:rsidRDefault="009B37F6">
      <w:pPr>
        <w:jc w:val="both"/>
        <w:rPr>
          <w:sz w:val="20"/>
          <w:szCs w:val="20"/>
        </w:rPr>
      </w:pPr>
      <w:r>
        <w:rPr>
          <w:sz w:val="20"/>
          <w:szCs w:val="20"/>
        </w:rPr>
        <w:t>Acknowledgement: This study is not funded by any organization.</w:t>
      </w:r>
    </w:p>
    <w:p w14:paraId="162C6826" w14:textId="77777777" w:rsidR="00C6360E" w:rsidRDefault="00C6360E">
      <w:pPr>
        <w:jc w:val="both"/>
        <w:rPr>
          <w:b/>
          <w:bCs/>
          <w:sz w:val="20"/>
          <w:szCs w:val="20"/>
        </w:rPr>
      </w:pPr>
    </w:p>
    <w:p w14:paraId="40A43A05" w14:textId="77777777" w:rsidR="00C6360E" w:rsidRDefault="00C6360E">
      <w:pPr>
        <w:jc w:val="both"/>
        <w:rPr>
          <w:b/>
          <w:bCs/>
          <w:sz w:val="20"/>
          <w:szCs w:val="20"/>
        </w:rPr>
      </w:pPr>
    </w:p>
    <w:p w14:paraId="77529ED7" w14:textId="77777777" w:rsidR="00C6360E" w:rsidRDefault="00C6360E">
      <w:pPr>
        <w:jc w:val="both"/>
        <w:rPr>
          <w:sz w:val="20"/>
          <w:szCs w:val="20"/>
        </w:rPr>
      </w:pPr>
    </w:p>
    <w:sectPr w:rsidR="00C6360E">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7D2E8" w14:textId="77777777" w:rsidR="009B37F6" w:rsidRDefault="009B37F6">
      <w:pPr>
        <w:spacing w:line="240" w:lineRule="auto"/>
      </w:pPr>
      <w:r>
        <w:separator/>
      </w:r>
    </w:p>
  </w:endnote>
  <w:endnote w:type="continuationSeparator" w:id="0">
    <w:p w14:paraId="7045A518" w14:textId="77777777" w:rsidR="009B37F6" w:rsidRDefault="009B37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1" w:fontKey="{D0467F59-645B-41B2-973F-2E0FE2687695}"/>
  </w:font>
  <w:font w:name="Cambria">
    <w:panose1 w:val="02040503050406030204"/>
    <w:charset w:val="00"/>
    <w:family w:val="roman"/>
    <w:pitch w:val="variable"/>
    <w:sig w:usb0="E00006FF" w:usb1="420024FF" w:usb2="02000000" w:usb3="00000000" w:csb0="0000019F" w:csb1="00000000"/>
    <w:embedRegular r:id="rId2" w:fontKey="{51E6DAA8-2458-430C-96A1-00E033E63D5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0DBA3" w14:textId="77777777" w:rsidR="009B37F6" w:rsidRDefault="009B37F6">
      <w:r>
        <w:separator/>
      </w:r>
    </w:p>
  </w:footnote>
  <w:footnote w:type="continuationSeparator" w:id="0">
    <w:p w14:paraId="7479D75E" w14:textId="77777777" w:rsidR="009B37F6" w:rsidRDefault="009B37F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60E"/>
    <w:rsid w:val="007C4AAE"/>
    <w:rsid w:val="009B37F6"/>
    <w:rsid w:val="00BA41DC"/>
    <w:rsid w:val="00BB7AC8"/>
    <w:rsid w:val="00C6360E"/>
    <w:rsid w:val="00CB36FE"/>
    <w:rsid w:val="447E19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6825B"/>
  <w15:docId w15:val="{EFFCB84C-1CD1-422A-9997-A17E64DA7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MY" w:eastAsia="en-MY"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zh-C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683</Words>
  <Characters>3897</Characters>
  <Application>Microsoft Office Word</Application>
  <DocSecurity>0</DocSecurity>
  <Lines>32</Lines>
  <Paragraphs>9</Paragraphs>
  <ScaleCrop>false</ScaleCrop>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2026-06-05T04:35:00Z</dcterms:created>
  <dcterms:modified xsi:type="dcterms:W3CDTF">2026-06-26T01:58:00Z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eyJoZGlkIjoiNTMzMWY4MmJkZGM1OWU3NzUzYjI3M2VlY2Q4NTllMzMiLCJ1c2VySWQiOiIxMDk5NTE1MTM3NDU1In0=</vt:lpwstr>
  </property>
  <property fmtid="{D5CDD505-2E9C-101B-9397-08002B2CF9AE}" pid="3" name="KSOProductBuildVer">
    <vt:lpwstr>1033-12.1.0.26880</vt:lpwstr>
  </property>
  <property fmtid="{D5CDD505-2E9C-101B-9397-08002B2CF9AE}" pid="4" name="ICV">
    <vt:lpwstr>B4B78FF405724329BD3C19FAD8F5A0F1_12</vt:lpwstr>
  </property>
</Properties>
</file>