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bidi w:val="0"/>
        <w:spacing w:before="100" w:beforeAutospacing="0" w:after="100" w:afterAutospacing="0" w:line="17" w:lineRule="atLeast"/>
        <w:jc w:val="both"/>
        <w:rPr>
          <w:rFonts w:hint="default" w:ascii="Arial" w:hAnsi="Arial" w:cs="Arial"/>
          <w:b/>
          <w:bCs/>
          <w:i w:val="0"/>
          <w:iCs w:val="0"/>
          <w:sz w:val="20"/>
          <w:szCs w:val="20"/>
          <w:u w:val="none"/>
          <w:lang w:val="en-US"/>
        </w:rPr>
      </w:pPr>
      <w:bookmarkStart w:id="0" w:name="_GoBack"/>
      <w:r>
        <w:rPr>
          <w:rFonts w:ascii="Arial" w:hAnsi="Arial" w:eastAsia="SimSun" w:cs="Arial"/>
          <w:b/>
          <w:bCs/>
          <w:i w:val="0"/>
          <w:iCs w:val="0"/>
          <w:caps w:val="0"/>
          <w:color w:val="222222"/>
          <w:spacing w:val="0"/>
          <w:sz w:val="20"/>
          <w:szCs w:val="20"/>
          <w:shd w:val="clear" w:fill="FFFFFF"/>
        </w:rPr>
        <w:t>Nature’s Endoscopic Surgery: A Case Report of Extensive Multi-Sinus Osteolysis Caused by an Aspergillus niger Fungal Ball</w:t>
      </w:r>
    </w:p>
    <w:bookmarkEnd w:id="0"/>
    <w:p>
      <w:pPr>
        <w:pStyle w:val="5"/>
        <w:keepNext w:val="0"/>
        <w:keepLines w:val="0"/>
        <w:widowControl/>
        <w:suppressLineNumbers w:val="0"/>
        <w:bidi w:val="0"/>
        <w:spacing w:before="100" w:beforeAutospacing="0" w:after="100" w:afterAutospacing="0" w:line="17" w:lineRule="atLeast"/>
        <w:jc w:val="both"/>
        <w:rPr>
          <w:rFonts w:hint="default" w:ascii="Arial" w:hAnsi="Arial" w:cs="Arial"/>
          <w:b w:val="0"/>
          <w:bCs w:val="0"/>
          <w:i w:val="0"/>
          <w:iCs w:val="0"/>
          <w:sz w:val="20"/>
          <w:szCs w:val="20"/>
          <w:u w:val="none"/>
          <w:lang w:val="en-US"/>
        </w:rPr>
      </w:pPr>
      <w:r>
        <w:rPr>
          <w:rFonts w:hint="default" w:ascii="Arial" w:hAnsi="Arial" w:cs="Arial"/>
          <w:b w:val="0"/>
          <w:bCs w:val="0"/>
          <w:i w:val="0"/>
          <w:iCs w:val="0"/>
          <w:sz w:val="20"/>
          <w:szCs w:val="20"/>
          <w:u w:val="single"/>
          <w:lang w:val="en-US"/>
        </w:rPr>
        <w:t>L</w:t>
      </w:r>
      <w:r>
        <w:rPr>
          <w:rFonts w:hint="default" w:ascii="Arial" w:hAnsi="Arial" w:cs="Arial"/>
          <w:b w:val="0"/>
          <w:bCs w:val="0"/>
          <w:i w:val="0"/>
          <w:iCs w:val="0"/>
          <w:sz w:val="20"/>
          <w:szCs w:val="20"/>
          <w:u w:val="single"/>
          <w:lang w:val="en-MY"/>
        </w:rPr>
        <w:t>im</w:t>
      </w:r>
      <w:r>
        <w:rPr>
          <w:rFonts w:hint="default" w:ascii="Arial" w:hAnsi="Arial" w:cs="Arial"/>
          <w:b w:val="0"/>
          <w:bCs w:val="0"/>
          <w:i w:val="0"/>
          <w:iCs w:val="0"/>
          <w:sz w:val="20"/>
          <w:szCs w:val="20"/>
          <w:u w:val="single"/>
          <w:lang w:val="en-US"/>
        </w:rPr>
        <w:t xml:space="preserve"> Hui Wen</w:t>
      </w:r>
      <w:r>
        <w:rPr>
          <w:rFonts w:hint="default" w:ascii="Arial" w:hAnsi="Arial" w:cs="Arial"/>
          <w:b w:val="0"/>
          <w:bCs w:val="0"/>
          <w:i w:val="0"/>
          <w:iCs w:val="0"/>
          <w:sz w:val="20"/>
          <w:szCs w:val="20"/>
          <w:u w:val="none"/>
          <w:lang w:val="en-US"/>
        </w:rPr>
        <w:t xml:space="preserve">[1]; Sharifah Intan Safuraa </w:t>
      </w:r>
      <w:r>
        <w:rPr>
          <w:rFonts w:hint="default" w:ascii="Arial" w:hAnsi="Arial" w:cs="Arial"/>
          <w:b w:val="0"/>
          <w:bCs w:val="0"/>
          <w:i w:val="0"/>
          <w:iCs w:val="0"/>
          <w:sz w:val="20"/>
          <w:szCs w:val="20"/>
          <w:u w:val="none"/>
          <w:lang w:val="en-MY"/>
        </w:rPr>
        <w:t>Shahabudin</w:t>
      </w:r>
      <w:r>
        <w:rPr>
          <w:rFonts w:hint="default" w:ascii="Arial" w:hAnsi="Arial" w:cs="Arial"/>
          <w:b w:val="0"/>
          <w:bCs w:val="0"/>
          <w:i w:val="0"/>
          <w:iCs w:val="0"/>
          <w:sz w:val="20"/>
          <w:szCs w:val="20"/>
          <w:u w:val="none"/>
          <w:lang w:val="en-US"/>
        </w:rPr>
        <w:t>[1], Shalina Kaur</w:t>
      </w:r>
      <w:r>
        <w:rPr>
          <w:rFonts w:hint="default" w:ascii="Arial" w:hAnsi="Arial" w:cs="Arial"/>
          <w:b w:val="0"/>
          <w:bCs w:val="0"/>
          <w:i w:val="0"/>
          <w:iCs w:val="0"/>
          <w:sz w:val="20"/>
          <w:szCs w:val="20"/>
          <w:u w:val="none"/>
          <w:lang w:val="en-MY"/>
        </w:rPr>
        <w:t xml:space="preserve"> Harminder Singh</w:t>
      </w:r>
      <w:r>
        <w:rPr>
          <w:rFonts w:hint="default" w:ascii="Arial" w:hAnsi="Arial" w:cs="Arial"/>
          <w:b w:val="0"/>
          <w:bCs w:val="0"/>
          <w:i w:val="0"/>
          <w:iCs w:val="0"/>
          <w:sz w:val="20"/>
          <w:szCs w:val="20"/>
          <w:u w:val="none"/>
          <w:lang w:val="en-US"/>
        </w:rPr>
        <w:t>, [1] Pathma</w:t>
      </w:r>
      <w:r>
        <w:rPr>
          <w:rFonts w:hint="default" w:ascii="Arial" w:hAnsi="Arial" w:cs="Arial"/>
          <w:b w:val="0"/>
          <w:bCs w:val="0"/>
          <w:i w:val="0"/>
          <w:iCs w:val="0"/>
          <w:sz w:val="20"/>
          <w:szCs w:val="20"/>
          <w:u w:val="none"/>
          <w:lang w:val="en-MY"/>
        </w:rPr>
        <w:t xml:space="preserve"> Letchumanan</w:t>
      </w:r>
      <w:r>
        <w:rPr>
          <w:rFonts w:hint="default" w:ascii="Arial" w:hAnsi="Arial" w:cs="Arial"/>
          <w:b w:val="0"/>
          <w:bCs w:val="0"/>
          <w:i w:val="0"/>
          <w:iCs w:val="0"/>
          <w:sz w:val="20"/>
          <w:szCs w:val="20"/>
          <w:u w:val="none"/>
          <w:lang w:val="en-US"/>
        </w:rPr>
        <w:t xml:space="preserve">[1], Harvinder Singh </w:t>
      </w:r>
      <w:r>
        <w:rPr>
          <w:rFonts w:hint="default" w:ascii="Arial" w:hAnsi="Arial" w:cs="Arial"/>
          <w:b w:val="0"/>
          <w:bCs w:val="0"/>
          <w:i w:val="0"/>
          <w:iCs w:val="0"/>
          <w:sz w:val="20"/>
          <w:szCs w:val="20"/>
          <w:u w:val="none"/>
          <w:lang w:val="en-MY"/>
        </w:rPr>
        <w:t>Dalip Singh</w:t>
      </w:r>
      <w:r>
        <w:rPr>
          <w:rFonts w:hint="default" w:ascii="Arial" w:hAnsi="Arial" w:cs="Arial"/>
          <w:b w:val="0"/>
          <w:bCs w:val="0"/>
          <w:i w:val="0"/>
          <w:iCs w:val="0"/>
          <w:sz w:val="20"/>
          <w:szCs w:val="20"/>
          <w:u w:val="none"/>
          <w:lang w:val="en-US"/>
        </w:rPr>
        <w:t>[1]</w:t>
      </w: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b w:val="0"/>
          <w:bCs w:val="0"/>
          <w:i w:val="0"/>
          <w:iCs w:val="0"/>
          <w:sz w:val="20"/>
          <w:szCs w:val="20"/>
          <w:u w:val="none"/>
          <w:lang w:val="en-US"/>
        </w:rPr>
      </w:pPr>
    </w:p>
    <w:p>
      <w:pPr>
        <w:pStyle w:val="5"/>
        <w:keepNext w:val="0"/>
        <w:keepLines w:val="0"/>
        <w:widowControl/>
        <w:suppressLineNumbers w:val="0"/>
        <w:bidi w:val="0"/>
        <w:spacing w:before="100" w:beforeAutospacing="0" w:after="100" w:afterAutospacing="0" w:line="17" w:lineRule="atLeast"/>
        <w:jc w:val="both"/>
        <w:rPr>
          <w:sz w:val="20"/>
          <w:szCs w:val="20"/>
        </w:rPr>
      </w:pPr>
      <w:r>
        <w:rPr>
          <w:rFonts w:ascii="Arial" w:hAnsi="Arial" w:cs="Arial"/>
          <w:i w:val="0"/>
          <w:iCs w:val="0"/>
          <w:color w:val="000000"/>
          <w:sz w:val="20"/>
          <w:szCs w:val="20"/>
          <w:u w:val="none"/>
          <w:vertAlign w:val="baseline"/>
        </w:rPr>
        <w:t>1- Department of Otorhinolaryngology, Head and Neck Surgery, Hospital Raja Permaisuri Bainun Ipoh, Perak, Malaysia</w:t>
      </w: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b w:val="0"/>
          <w:bCs w:val="0"/>
          <w:i w:val="0"/>
          <w:iCs w:val="0"/>
          <w:sz w:val="20"/>
          <w:szCs w:val="20"/>
          <w:u w:val="none"/>
          <w:lang w:val="en-US"/>
        </w:rPr>
      </w:pP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Introduction:</w:t>
      </w:r>
      <w:r>
        <w:rPr>
          <w:rFonts w:hint="default" w:ascii="Arial" w:hAnsi="Arial" w:cs="Arial"/>
          <w:i w:val="0"/>
          <w:iCs w:val="0"/>
          <w:color w:val="000000"/>
          <w:sz w:val="20"/>
          <w:szCs w:val="20"/>
          <w:u w:val="none"/>
          <w:vertAlign w:val="baseline"/>
        </w:rPr>
        <w:t xml:space="preserve"> Fungal rhinosinusitis represents a diverse category of sinonasal disease encountered in both immunocompetent and immunocompromised hosts. Definitive diagnosis requires correlating clinical presentation, imaging, endoscopy, and histopathology.  The disease is classified into non-invasive (saprophytic, allergic, and fungal ball), invasive (acute, chronic, and granulomatous), and mixed forms based on the capacity of fungal hyphae to infiltrate endonasal tissues. Each subtype carries unique risk factors, prognoses, and specific surgical requirements. Within the non-invasive spectrum, fungus balls present as extramucosal hyphal accumulations. Rarely, localized biochemical osteolysis resorbs the ostiomeatal complex, creating a wide, smoothly marginated, spontaneous antrostomy termed "auto-FESS (functional endoscopic sinus surgery)." Symmetrically present in diabetic individuals, this extensive multi-sinus resorption closely mimics invasive fungal rhinosinusitis subtypes, creating an acute diagnostic dilemma. This abstract highlights a rare case of bilateral auto-FESS involving the maxillary and ethmoidal frameworks, analyzing the parameters required to avoid diagnostic errors.</w:t>
      </w: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i w:val="0"/>
          <w:iCs w:val="0"/>
          <w:color w:val="000000"/>
          <w:sz w:val="20"/>
          <w:szCs w:val="20"/>
          <w:u w:val="none"/>
          <w:vertAlign w:val="baseline"/>
        </w:rPr>
      </w:pP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i w:val="0"/>
          <w:iCs w:val="0"/>
          <w:color w:val="000000"/>
          <w:sz w:val="20"/>
          <w:szCs w:val="20"/>
          <w:u w:val="none"/>
          <w:vertAlign w:val="baseline"/>
          <w:lang w:val="en-MY"/>
        </w:rPr>
      </w:pPr>
      <w:r>
        <w:rPr>
          <w:rFonts w:hint="default" w:ascii="Arial" w:hAnsi="Arial" w:cs="Arial"/>
          <w:b/>
          <w:bCs/>
          <w:i w:val="0"/>
          <w:iCs w:val="0"/>
          <w:color w:val="000000"/>
          <w:sz w:val="20"/>
          <w:szCs w:val="20"/>
          <w:u w:val="none"/>
          <w:vertAlign w:val="baseline"/>
        </w:rPr>
        <w:t>Case Presentation:</w:t>
      </w:r>
      <w:r>
        <w:rPr>
          <w:rFonts w:hint="default" w:ascii="Arial" w:hAnsi="Arial" w:cs="Arial"/>
          <w:i w:val="0"/>
          <w:iCs w:val="0"/>
          <w:color w:val="000000"/>
          <w:sz w:val="20"/>
          <w:szCs w:val="20"/>
          <w:u w:val="none"/>
          <w:vertAlign w:val="baseline"/>
        </w:rPr>
        <w:t xml:space="preserve"> We report a 68-year-old diabetic woman who presented with chronic headache and foul-smelling nasal discharge. Diagnostic evaluation included nasal endoscopy and contrast-enhanced computed tomography of the paranasal sinuses. She underwent bilateral functional endoscopic sinus surgery, followed by histopathological examination and fungal culture of intraoperative specimens.</w:t>
      </w:r>
      <w:r>
        <w:rPr>
          <w:rFonts w:hint="default" w:ascii="Arial" w:hAnsi="Arial" w:cs="Arial"/>
          <w:i w:val="0"/>
          <w:iCs w:val="0"/>
          <w:color w:val="000000"/>
          <w:sz w:val="20"/>
          <w:szCs w:val="20"/>
          <w:u w:val="none"/>
          <w:vertAlign w:val="baseline"/>
          <w:lang w:val="en-MY"/>
        </w:rPr>
        <w:t xml:space="preserve"> Radiological and intraoperative findings revealed extensive, smooth, well-remodelled bone resorption involving the medial maxillary walls, inferior ethmoid floors, and osteomeatal complexes, producing spontaneous bilateral antrostomies resembling previous functional endoscopic sinus surgery. The orbits were preserved. Complete spontaneous resorption of the right uncinate process and bulla ethmoidalis was noted, while a thin residual uncinate process remained on the left. Histopathology demonstrated strictly extramucosal septate fungal hyphae with calcium oxalate crystals, without mucosal, vascular, or osseous invasion, thereby excluding invasive fungal rhinosinusitis. Fungal culture isolated Aspergillus niger. Complete mechanical clearance and high-volume saline irrigation resulted in full clinical resolution, with well-epithelialized cavities and no recurrence at 12-month follow-up.</w:t>
      </w: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i w:val="0"/>
          <w:iCs w:val="0"/>
          <w:color w:val="000000"/>
          <w:sz w:val="20"/>
          <w:szCs w:val="20"/>
          <w:u w:val="none"/>
          <w:vertAlign w:val="baseline"/>
        </w:rPr>
      </w:pP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i w:val="0"/>
          <w:iCs w:val="0"/>
          <w:color w:val="000000"/>
          <w:sz w:val="20"/>
          <w:szCs w:val="20"/>
          <w:u w:val="none"/>
          <w:vertAlign w:val="baseline"/>
        </w:rPr>
      </w:pPr>
      <w:r>
        <w:rPr>
          <w:rFonts w:hint="default" w:ascii="Arial" w:hAnsi="Arial" w:cs="Arial"/>
          <w:b/>
          <w:bCs/>
          <w:i w:val="0"/>
          <w:iCs w:val="0"/>
          <w:color w:val="000000"/>
          <w:sz w:val="20"/>
          <w:szCs w:val="20"/>
          <w:u w:val="none"/>
          <w:vertAlign w:val="baseline"/>
        </w:rPr>
        <w:t>Discussion:</w:t>
      </w:r>
      <w:r>
        <w:rPr>
          <w:rFonts w:hint="default" w:ascii="Arial" w:hAnsi="Arial" w:cs="Arial"/>
          <w:i w:val="0"/>
          <w:iCs w:val="0"/>
          <w:color w:val="000000"/>
          <w:sz w:val="20"/>
          <w:szCs w:val="20"/>
          <w:u w:val="none"/>
          <w:vertAlign w:val="baseline"/>
        </w:rPr>
        <w:t xml:space="preserve"> This case highlights a profound clinical paradox where a non-invasive process induces extensive multi-sinus osteolysis driven by environment-driven chemical acidification. Fungal culture on Sabouraud dextrose agar definitively isolated </w:t>
      </w:r>
      <w:r>
        <w:rPr>
          <w:rFonts w:hint="default" w:ascii="Arial" w:hAnsi="Arial" w:cs="Arial"/>
          <w:i/>
          <w:iCs/>
          <w:color w:val="000000"/>
          <w:sz w:val="20"/>
          <w:szCs w:val="20"/>
          <w:u w:val="none"/>
          <w:vertAlign w:val="baseline"/>
        </w:rPr>
        <w:t>Aspergillus niger</w:t>
      </w:r>
      <w:r>
        <w:rPr>
          <w:rFonts w:hint="default" w:ascii="Arial" w:hAnsi="Arial" w:cs="Arial"/>
          <w:i w:val="0"/>
          <w:iCs w:val="0"/>
          <w:color w:val="000000"/>
          <w:sz w:val="20"/>
          <w:szCs w:val="20"/>
          <w:u w:val="none"/>
          <w:vertAlign w:val="baseline"/>
        </w:rPr>
        <w:t xml:space="preserve">. This pathogen ferments host carbohydrates into high concentrations of oxalic acid, depositing calcium oxalate crystals, dropping local extracellular pH, and activating a localized osteoclastic cascade. Recognizing this cleanly remodeled auto-FESS pattern prevent </w:t>
      </w:r>
      <w:r>
        <w:rPr>
          <w:rFonts w:hint="default" w:ascii="Arial" w:hAnsi="Arial" w:cs="Arial"/>
          <w:i w:val="0"/>
          <w:iCs w:val="0"/>
          <w:color w:val="000000"/>
          <w:sz w:val="20"/>
          <w:szCs w:val="20"/>
          <w:u w:val="none"/>
          <w:vertAlign w:val="baseline"/>
          <w:lang w:val="en-MY"/>
        </w:rPr>
        <w:t xml:space="preserve">us </w:t>
      </w:r>
      <w:r>
        <w:rPr>
          <w:rFonts w:hint="default" w:ascii="Arial" w:hAnsi="Arial" w:cs="Arial"/>
          <w:i w:val="0"/>
          <w:iCs w:val="0"/>
          <w:color w:val="000000"/>
          <w:sz w:val="20"/>
          <w:szCs w:val="20"/>
          <w:u w:val="none"/>
          <w:vertAlign w:val="baseline"/>
        </w:rPr>
        <w:t>from misdiagnosing the disease as true invasive fungal sinusitis, which characteristically presents with aggressive, irregular, and moth-eaten bone destruction.</w:t>
      </w:r>
    </w:p>
    <w:p>
      <w:pPr>
        <w:pStyle w:val="5"/>
        <w:keepNext w:val="0"/>
        <w:keepLines w:val="0"/>
        <w:widowControl/>
        <w:suppressLineNumbers w:val="0"/>
        <w:bidi w:val="0"/>
        <w:spacing w:before="100" w:beforeAutospacing="0" w:after="100" w:afterAutospacing="0" w:line="17" w:lineRule="atLeast"/>
        <w:jc w:val="both"/>
        <w:rPr>
          <w:rFonts w:hint="default" w:ascii="Arial" w:hAnsi="Arial" w:cs="Arial"/>
          <w:i w:val="0"/>
          <w:iCs w:val="0"/>
          <w:color w:val="000000"/>
          <w:sz w:val="20"/>
          <w:szCs w:val="20"/>
          <w:u w:val="none"/>
          <w:vertAlign w:val="baseline"/>
        </w:rPr>
      </w:pPr>
    </w:p>
    <w:p>
      <w:pPr>
        <w:jc w:val="both"/>
        <w:rPr>
          <w:rFonts w:hint="default" w:ascii="Arial" w:hAnsi="Arial" w:cs="Arial"/>
          <w:sz w:val="20"/>
          <w:szCs w:val="20"/>
        </w:rPr>
      </w:pPr>
      <w:r>
        <w:rPr>
          <w:rFonts w:hint="default" w:ascii="Arial" w:hAnsi="Arial" w:cs="Arial"/>
          <w:b/>
          <w:bCs/>
          <w:i w:val="0"/>
          <w:iCs w:val="0"/>
          <w:color w:val="000000"/>
          <w:sz w:val="20"/>
          <w:szCs w:val="20"/>
          <w:u w:val="none"/>
          <w:vertAlign w:val="baseline"/>
        </w:rPr>
        <w:t>Conclusion:</w:t>
      </w:r>
      <w:r>
        <w:rPr>
          <w:rFonts w:hint="default" w:ascii="Arial" w:hAnsi="Arial" w:cs="Arial"/>
          <w:i w:val="0"/>
          <w:iCs w:val="0"/>
          <w:color w:val="000000"/>
          <w:sz w:val="20"/>
          <w:szCs w:val="20"/>
          <w:u w:val="none"/>
          <w:vertAlign w:val="baseline"/>
        </w:rPr>
        <w:t xml:space="preserve"> Non-invasive Aspergillus niger fungal ball can rarely cause extensive multi-sinus osteolysis, likely through localized chemical effects. Recognition of the smooth, well-remodelled “auto-FESS” pattern is essential to distinguish this entity from the irregular, destructive pattern of invasive fungal rhinosinusitis. This distinction is particularly important in diabetic patients, as accurate diagnosis may prevent unnecessary radical debridement and allow curative conservative endoscopic clearance.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83142"/>
    <w:rsid w:val="02944B48"/>
    <w:rsid w:val="223B5FC5"/>
    <w:rsid w:val="30B83142"/>
    <w:rsid w:val="335C718D"/>
    <w:rsid w:val="6FBE1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Calibri"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6">
    <w:name w:val="First Paragraph"/>
    <w:basedOn w:val="4"/>
    <w:next w:val="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484</Words>
  <Characters>3569</Characters>
  <Lines>0</Lines>
  <Paragraphs>0</Paragraphs>
  <TotalTime>22</TotalTime>
  <ScaleCrop>false</ScaleCrop>
  <LinksUpToDate>false</LinksUpToDate>
  <CharactersWithSpaces>4048</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2026-06-12T12:51:00Z</dcterms:created>
  <dc:creator>otorinolaringologi department</dc:creator>
  <cp:lastModifiedBy>user</cp:lastModifiedBy>
  <dcterms:modified xsi:type="dcterms:W3CDTF">2026-06-29T08:52:21Z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5F08A20D2DC3413E8845BC6324269ABA_11</vt:lpwstr>
  </property>
  <property fmtid="{D5CDD505-2E9C-101B-9397-08002B2CF9AE}" pid="4" name="KSOTemplateDocerSaveRecord">
    <vt:lpwstr>eyJoZGlkIjoiMjJiNTUwM2I4Zjg2MTY3MWM2YTY1Zjk5NzQyYzEzM2MiLCJ1c2VySWQiOiI4ODEzNjk2MzMwMTU3In0=</vt:lpwstr>
  </property>
</Properties>
</file>