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4D50E7" w14:textId="660EA5AB" w:rsidR="00CF507C" w:rsidRDefault="00000000" w:rsidP="00025E1E">
      <w:pPr>
        <w:widowControl w:val="0"/>
        <w:pBdr>
          <w:top w:val="nil"/>
          <w:left w:val="nil"/>
          <w:bottom w:val="nil"/>
          <w:right w:val="nil"/>
          <w:between w:val="nil"/>
        </w:pBdr>
        <w:spacing w:line="240" w:lineRule="auto"/>
        <w:ind w:left="18"/>
        <w:jc w:val="both"/>
        <w:rPr>
          <w:rFonts w:ascii="Times New Roman" w:eastAsia="Times New Roman" w:hAnsi="Times New Roman" w:cs="Times New Roman"/>
          <w:b/>
          <w:bCs/>
          <w:color w:val="000000"/>
          <w:sz w:val="36"/>
          <w:szCs w:val="36"/>
        </w:rPr>
      </w:pPr>
      <w:r>
        <w:rPr>
          <w:rFonts w:ascii="Times New Roman" w:eastAsia="Times New Roman" w:hAnsi="Times New Roman" w:cs="Times New Roman"/>
          <w:b/>
          <w:bCs/>
          <w:color w:val="000000"/>
          <w:sz w:val="36"/>
          <w:szCs w:val="36"/>
        </w:rPr>
        <w:t>PRC 202</w:t>
      </w:r>
      <w:r>
        <w:rPr>
          <w:rFonts w:ascii="Times New Roman" w:eastAsia="Times New Roman" w:hAnsi="Times New Roman" w:cs="Times New Roman"/>
          <w:b/>
          <w:bCs/>
          <w:sz w:val="36"/>
          <w:szCs w:val="36"/>
        </w:rPr>
        <w:t>6</w:t>
      </w:r>
      <w:r>
        <w:rPr>
          <w:rFonts w:ascii="Times New Roman" w:eastAsia="Times New Roman" w:hAnsi="Times New Roman" w:cs="Times New Roman"/>
          <w:b/>
          <w:bCs/>
          <w:color w:val="000000"/>
          <w:sz w:val="36"/>
          <w:szCs w:val="36"/>
        </w:rPr>
        <w:t xml:space="preserve"> Abstract Submission </w:t>
      </w:r>
    </w:p>
    <w:tbl>
      <w:tblPr>
        <w:tblStyle w:val="a"/>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100"/>
        <w:gridCol w:w="4900"/>
      </w:tblGrid>
      <w:tr w:rsidR="00CF507C" w14:paraId="19B214F2" w14:textId="77777777" w:rsidTr="00826A8D">
        <w:trPr>
          <w:trHeight w:val="540"/>
        </w:trPr>
        <w:tc>
          <w:tcPr>
            <w:tcW w:w="4100" w:type="dxa"/>
            <w:tcMar>
              <w:top w:w="100" w:type="dxa"/>
              <w:left w:w="100" w:type="dxa"/>
              <w:bottom w:w="100" w:type="dxa"/>
              <w:right w:w="100" w:type="dxa"/>
            </w:tcMar>
          </w:tcPr>
          <w:p w14:paraId="79258CC6" w14:textId="77777777" w:rsidR="00CF507C" w:rsidRPr="004F465C" w:rsidRDefault="00000000" w:rsidP="00D57324">
            <w:pPr>
              <w:widowControl w:val="0"/>
              <w:pBdr>
                <w:top w:val="nil"/>
                <w:left w:val="nil"/>
                <w:bottom w:val="nil"/>
                <w:right w:val="nil"/>
                <w:between w:val="nil"/>
              </w:pBdr>
              <w:spacing w:line="240" w:lineRule="auto"/>
              <w:ind w:left="310"/>
              <w:jc w:val="center"/>
              <w:rPr>
                <w:b/>
                <w:bCs/>
                <w:color w:val="000000"/>
                <w:sz w:val="24"/>
                <w:szCs w:val="24"/>
              </w:rPr>
            </w:pPr>
            <w:r w:rsidRPr="004F465C">
              <w:rPr>
                <w:b/>
                <w:bCs/>
                <w:color w:val="000000"/>
                <w:sz w:val="24"/>
                <w:szCs w:val="24"/>
              </w:rPr>
              <w:t>Abstract Title</w:t>
            </w:r>
          </w:p>
        </w:tc>
        <w:tc>
          <w:tcPr>
            <w:tcW w:w="4900" w:type="dxa"/>
            <w:tcMar>
              <w:top w:w="100" w:type="dxa"/>
              <w:left w:w="100" w:type="dxa"/>
              <w:bottom w:w="100" w:type="dxa"/>
              <w:right w:w="100" w:type="dxa"/>
            </w:tcMar>
          </w:tcPr>
          <w:p w14:paraId="3096867C" w14:textId="3E89FF1F" w:rsidR="00CF507C" w:rsidRPr="004F465C" w:rsidRDefault="008A2038" w:rsidP="009369E2">
            <w:pPr>
              <w:widowControl w:val="0"/>
              <w:pBdr>
                <w:top w:val="nil"/>
                <w:left w:val="nil"/>
                <w:bottom w:val="nil"/>
                <w:right w:val="nil"/>
                <w:between w:val="nil"/>
              </w:pBdr>
              <w:rPr>
                <w:b/>
                <w:bCs/>
                <w:color w:val="000000"/>
                <w:sz w:val="24"/>
                <w:szCs w:val="24"/>
              </w:rPr>
            </w:pPr>
            <w:r>
              <w:rPr>
                <w:b/>
                <w:bCs/>
                <w:color w:val="000000"/>
                <w:sz w:val="24"/>
                <w:szCs w:val="24"/>
              </w:rPr>
              <w:t>‘</w:t>
            </w:r>
            <w:r w:rsidR="00F5125C" w:rsidRPr="004F465C">
              <w:rPr>
                <w:b/>
                <w:bCs/>
                <w:color w:val="000000"/>
                <w:sz w:val="24"/>
                <w:szCs w:val="24"/>
              </w:rPr>
              <w:t>Associations Between Breastfeeding Practices, Nutritional Intake Adequacy, Blood Pressure and Body Mass Index in Postpartum Mothers</w:t>
            </w:r>
            <w:r>
              <w:rPr>
                <w:b/>
                <w:bCs/>
                <w:color w:val="000000"/>
                <w:sz w:val="24"/>
                <w:szCs w:val="24"/>
              </w:rPr>
              <w:t>’</w:t>
            </w:r>
          </w:p>
        </w:tc>
      </w:tr>
      <w:tr w:rsidR="00CF507C" w14:paraId="12B8EE8B" w14:textId="77777777">
        <w:trPr>
          <w:trHeight w:val="780"/>
        </w:trPr>
        <w:tc>
          <w:tcPr>
            <w:tcW w:w="4100" w:type="dxa"/>
            <w:tcMar>
              <w:top w:w="100" w:type="dxa"/>
              <w:left w:w="100" w:type="dxa"/>
              <w:bottom w:w="100" w:type="dxa"/>
              <w:right w:w="100" w:type="dxa"/>
            </w:tcMar>
          </w:tcPr>
          <w:p w14:paraId="5FDA4FD8" w14:textId="533E4D60" w:rsidR="00CF507C" w:rsidRPr="004F465C" w:rsidRDefault="00000000" w:rsidP="00D57324">
            <w:pPr>
              <w:widowControl w:val="0"/>
              <w:pBdr>
                <w:top w:val="nil"/>
                <w:left w:val="nil"/>
                <w:bottom w:val="nil"/>
                <w:right w:val="nil"/>
                <w:between w:val="nil"/>
              </w:pBdr>
              <w:spacing w:line="240" w:lineRule="auto"/>
              <w:ind w:right="146"/>
              <w:jc w:val="center"/>
              <w:rPr>
                <w:b/>
                <w:bCs/>
                <w:color w:val="000000"/>
                <w:sz w:val="24"/>
                <w:szCs w:val="24"/>
              </w:rPr>
            </w:pPr>
            <w:r w:rsidRPr="004F465C">
              <w:rPr>
                <w:b/>
                <w:bCs/>
                <w:color w:val="000000"/>
                <w:sz w:val="24"/>
                <w:szCs w:val="24"/>
              </w:rPr>
              <w:t>Presenting author &amp; co-authors</w:t>
            </w:r>
          </w:p>
        </w:tc>
        <w:tc>
          <w:tcPr>
            <w:tcW w:w="4900" w:type="dxa"/>
            <w:tcMar>
              <w:top w:w="100" w:type="dxa"/>
              <w:left w:w="100" w:type="dxa"/>
              <w:bottom w:w="100" w:type="dxa"/>
              <w:right w:w="100" w:type="dxa"/>
            </w:tcMar>
          </w:tcPr>
          <w:p w14:paraId="5535F9B1" w14:textId="1A3C71A7" w:rsidR="00CF507C" w:rsidRPr="00341EE4" w:rsidRDefault="00826A8D" w:rsidP="00D57324">
            <w:pPr>
              <w:widowControl w:val="0"/>
              <w:pBdr>
                <w:top w:val="nil"/>
                <w:left w:val="nil"/>
                <w:bottom w:val="nil"/>
                <w:right w:val="nil"/>
                <w:between w:val="nil"/>
              </w:pBdr>
              <w:spacing w:line="229" w:lineRule="auto"/>
              <w:ind w:right="506"/>
              <w:rPr>
                <w:color w:val="000000"/>
                <w:sz w:val="24"/>
                <w:szCs w:val="24"/>
              </w:rPr>
            </w:pPr>
            <w:r w:rsidRPr="009F11B7">
              <w:rPr>
                <w:b/>
                <w:bCs/>
                <w:sz w:val="20"/>
                <w:szCs w:val="20"/>
                <w:u w:val="single"/>
                <w:vertAlign w:val="superscript"/>
              </w:rPr>
              <w:t>1</w:t>
            </w:r>
            <w:r w:rsidR="00451993" w:rsidRPr="009F11B7">
              <w:rPr>
                <w:b/>
                <w:bCs/>
                <w:color w:val="000000"/>
                <w:sz w:val="24"/>
                <w:szCs w:val="24"/>
                <w:u w:val="single"/>
              </w:rPr>
              <w:t>Geh Jia Yi</w:t>
            </w:r>
            <w:r w:rsidR="00341EE4" w:rsidRPr="00341EE4">
              <w:rPr>
                <w:color w:val="000000"/>
                <w:sz w:val="24"/>
                <w:szCs w:val="24"/>
              </w:rPr>
              <w:t xml:space="preserve">, </w:t>
            </w:r>
            <w:r w:rsidR="00EF6F75" w:rsidRPr="00633ABF">
              <w:rPr>
                <w:sz w:val="20"/>
                <w:szCs w:val="20"/>
                <w:vertAlign w:val="superscript"/>
              </w:rPr>
              <w:t>1</w:t>
            </w:r>
            <w:r w:rsidR="00EF6F75">
              <w:rPr>
                <w:color w:val="000000"/>
                <w:sz w:val="24"/>
                <w:szCs w:val="24"/>
              </w:rPr>
              <w:t xml:space="preserve">Sangeetha Sundarajan, </w:t>
            </w:r>
            <w:r>
              <w:rPr>
                <w:sz w:val="20"/>
                <w:szCs w:val="20"/>
                <w:vertAlign w:val="superscript"/>
              </w:rPr>
              <w:t>2</w:t>
            </w:r>
            <w:r w:rsidRPr="00826A8D">
              <w:rPr>
                <w:color w:val="000000"/>
                <w:sz w:val="24"/>
                <w:szCs w:val="24"/>
              </w:rPr>
              <w:t>Low Wah Yun</w:t>
            </w:r>
            <w:r>
              <w:rPr>
                <w:color w:val="000000"/>
                <w:sz w:val="24"/>
                <w:szCs w:val="24"/>
              </w:rPr>
              <w:t xml:space="preserve">, </w:t>
            </w:r>
            <w:r>
              <w:rPr>
                <w:sz w:val="20"/>
                <w:szCs w:val="20"/>
                <w:vertAlign w:val="superscript"/>
              </w:rPr>
              <w:t>3</w:t>
            </w:r>
            <w:r w:rsidRPr="00826A8D">
              <w:rPr>
                <w:color w:val="000000"/>
                <w:sz w:val="24"/>
                <w:szCs w:val="24"/>
              </w:rPr>
              <w:t xml:space="preserve">Amilia </w:t>
            </w:r>
            <w:proofErr w:type="spellStart"/>
            <w:r w:rsidRPr="00826A8D">
              <w:rPr>
                <w:color w:val="000000"/>
                <w:sz w:val="24"/>
                <w:szCs w:val="24"/>
              </w:rPr>
              <w:t>Hazreena</w:t>
            </w:r>
            <w:proofErr w:type="spellEnd"/>
            <w:r>
              <w:rPr>
                <w:color w:val="000000"/>
                <w:sz w:val="24"/>
                <w:szCs w:val="24"/>
              </w:rPr>
              <w:t xml:space="preserve"> Hamidon, and </w:t>
            </w:r>
            <w:r w:rsidRPr="00633ABF">
              <w:rPr>
                <w:sz w:val="20"/>
                <w:szCs w:val="20"/>
                <w:vertAlign w:val="superscript"/>
              </w:rPr>
              <w:t>1</w:t>
            </w:r>
            <w:r>
              <w:rPr>
                <w:color w:val="000000"/>
                <w:sz w:val="24"/>
                <w:szCs w:val="24"/>
              </w:rPr>
              <w:t>Annaletchumy Loganathan</w:t>
            </w:r>
          </w:p>
        </w:tc>
      </w:tr>
      <w:tr w:rsidR="00CF507C" w14:paraId="5507BA0A" w14:textId="77777777">
        <w:trPr>
          <w:trHeight w:val="540"/>
        </w:trPr>
        <w:tc>
          <w:tcPr>
            <w:tcW w:w="4100" w:type="dxa"/>
            <w:tcMar>
              <w:top w:w="100" w:type="dxa"/>
              <w:left w:w="100" w:type="dxa"/>
              <w:bottom w:w="100" w:type="dxa"/>
              <w:right w:w="100" w:type="dxa"/>
            </w:tcMar>
          </w:tcPr>
          <w:p w14:paraId="5BA40BE8" w14:textId="77777777" w:rsidR="00CF507C" w:rsidRPr="004F465C" w:rsidRDefault="00000000" w:rsidP="00D57324">
            <w:pPr>
              <w:widowControl w:val="0"/>
              <w:pBdr>
                <w:top w:val="nil"/>
                <w:left w:val="nil"/>
                <w:bottom w:val="nil"/>
                <w:right w:val="nil"/>
                <w:between w:val="nil"/>
              </w:pBdr>
              <w:spacing w:line="240" w:lineRule="auto"/>
              <w:ind w:left="310"/>
              <w:jc w:val="center"/>
              <w:rPr>
                <w:b/>
                <w:bCs/>
                <w:color w:val="000000"/>
                <w:sz w:val="24"/>
                <w:szCs w:val="24"/>
              </w:rPr>
            </w:pPr>
            <w:r w:rsidRPr="004F465C">
              <w:rPr>
                <w:b/>
                <w:bCs/>
                <w:color w:val="000000"/>
                <w:sz w:val="24"/>
                <w:szCs w:val="24"/>
              </w:rPr>
              <w:t>Affiliation of all authors</w:t>
            </w:r>
          </w:p>
        </w:tc>
        <w:tc>
          <w:tcPr>
            <w:tcW w:w="4900" w:type="dxa"/>
            <w:tcMar>
              <w:top w:w="100" w:type="dxa"/>
              <w:left w:w="100" w:type="dxa"/>
              <w:bottom w:w="100" w:type="dxa"/>
              <w:right w:w="100" w:type="dxa"/>
            </w:tcMar>
          </w:tcPr>
          <w:p w14:paraId="3F69B313" w14:textId="58F41F16" w:rsidR="00CF507C" w:rsidRPr="004F465C" w:rsidRDefault="00826A8D" w:rsidP="00826A8D">
            <w:pPr>
              <w:rPr>
                <w:b/>
                <w:bCs/>
                <w:color w:val="000000"/>
                <w:sz w:val="24"/>
                <w:szCs w:val="24"/>
              </w:rPr>
            </w:pPr>
            <w:r w:rsidRPr="00633ABF">
              <w:rPr>
                <w:sz w:val="20"/>
                <w:szCs w:val="20"/>
                <w:vertAlign w:val="superscript"/>
              </w:rPr>
              <w:t>1</w:t>
            </w:r>
            <w:r w:rsidRPr="00633ABF">
              <w:rPr>
                <w:sz w:val="20"/>
                <w:szCs w:val="20"/>
              </w:rPr>
              <w:t xml:space="preserve">Department of Allied Health Science, Faculty of Science, </w:t>
            </w:r>
            <w:proofErr w:type="spellStart"/>
            <w:r w:rsidRPr="00633ABF">
              <w:rPr>
                <w:sz w:val="20"/>
                <w:szCs w:val="20"/>
              </w:rPr>
              <w:t>Universiti</w:t>
            </w:r>
            <w:proofErr w:type="spellEnd"/>
            <w:r w:rsidRPr="00633ABF">
              <w:rPr>
                <w:sz w:val="20"/>
                <w:szCs w:val="20"/>
              </w:rPr>
              <w:t xml:space="preserve"> </w:t>
            </w:r>
            <w:proofErr w:type="spellStart"/>
            <w:r w:rsidRPr="00633ABF">
              <w:rPr>
                <w:sz w:val="20"/>
                <w:szCs w:val="20"/>
              </w:rPr>
              <w:t>Tunku</w:t>
            </w:r>
            <w:proofErr w:type="spellEnd"/>
            <w:r w:rsidRPr="00633ABF">
              <w:rPr>
                <w:sz w:val="20"/>
                <w:szCs w:val="20"/>
              </w:rPr>
              <w:t xml:space="preserve"> Abdul Rahman (UTAR), Kampar, Perak, Malaysia.</w:t>
            </w:r>
            <w:r w:rsidRPr="00633ABF">
              <w:rPr>
                <w:sz w:val="20"/>
                <w:szCs w:val="20"/>
                <w:vertAlign w:val="superscript"/>
              </w:rPr>
              <w:t xml:space="preserve"> 2</w:t>
            </w:r>
            <w:r w:rsidRPr="00826A8D">
              <w:rPr>
                <w:sz w:val="20"/>
                <w:szCs w:val="20"/>
              </w:rPr>
              <w:t xml:space="preserve">Department of Social &amp; Preventive Medicine, Faculty of Medicine, </w:t>
            </w:r>
            <w:proofErr w:type="spellStart"/>
            <w:r w:rsidRPr="00826A8D">
              <w:rPr>
                <w:sz w:val="20"/>
                <w:szCs w:val="20"/>
              </w:rPr>
              <w:t>Universiti</w:t>
            </w:r>
            <w:proofErr w:type="spellEnd"/>
            <w:r w:rsidRPr="00826A8D">
              <w:rPr>
                <w:sz w:val="20"/>
                <w:szCs w:val="20"/>
              </w:rPr>
              <w:t xml:space="preserve"> Malaya, Kuala Lumpur</w:t>
            </w:r>
            <w:r>
              <w:rPr>
                <w:sz w:val="20"/>
                <w:szCs w:val="20"/>
              </w:rPr>
              <w:t xml:space="preserve">, </w:t>
            </w:r>
            <w:r w:rsidRPr="00826A8D">
              <w:rPr>
                <w:sz w:val="20"/>
                <w:szCs w:val="20"/>
              </w:rPr>
              <w:t>Greentown Health Clinic Ipoh</w:t>
            </w:r>
            <w:r>
              <w:rPr>
                <w:sz w:val="20"/>
                <w:szCs w:val="20"/>
              </w:rPr>
              <w:t xml:space="preserve">, </w:t>
            </w:r>
            <w:r>
              <w:rPr>
                <w:sz w:val="20"/>
                <w:szCs w:val="20"/>
                <w:vertAlign w:val="superscript"/>
              </w:rPr>
              <w:t>3</w:t>
            </w:r>
            <w:r w:rsidRPr="00826A8D">
              <w:rPr>
                <w:sz w:val="20"/>
                <w:szCs w:val="20"/>
              </w:rPr>
              <w:t>Klinik Kesihatan Greentown, Jalan Raja Musa Aziz, 30450 Ipoh, Perak, Malaysia</w:t>
            </w:r>
          </w:p>
        </w:tc>
      </w:tr>
      <w:tr w:rsidR="00CF507C" w14:paraId="44BC148A" w14:textId="77777777" w:rsidTr="00451993">
        <w:trPr>
          <w:trHeight w:val="2711"/>
        </w:trPr>
        <w:tc>
          <w:tcPr>
            <w:tcW w:w="9000" w:type="dxa"/>
            <w:gridSpan w:val="2"/>
            <w:tcMar>
              <w:top w:w="100" w:type="dxa"/>
              <w:left w:w="100" w:type="dxa"/>
              <w:bottom w:w="100" w:type="dxa"/>
              <w:right w:w="100" w:type="dxa"/>
            </w:tcMar>
          </w:tcPr>
          <w:p w14:paraId="46384BD4" w14:textId="77777777" w:rsidR="00EF6F75" w:rsidRPr="00633ABF" w:rsidRDefault="00EF6F75" w:rsidP="00EF6F75">
            <w:pPr>
              <w:jc w:val="both"/>
              <w:rPr>
                <w:b/>
                <w:bCs/>
                <w:sz w:val="20"/>
                <w:szCs w:val="20"/>
              </w:rPr>
            </w:pPr>
            <w:r w:rsidRPr="00633ABF">
              <w:rPr>
                <w:b/>
                <w:bCs/>
                <w:sz w:val="20"/>
                <w:szCs w:val="20"/>
              </w:rPr>
              <w:t>Introduction and Objectives</w:t>
            </w:r>
          </w:p>
          <w:p w14:paraId="60B699BC" w14:textId="459F0BF7" w:rsidR="009369E2" w:rsidRDefault="00EF6F75" w:rsidP="00EF6F75">
            <w:pPr>
              <w:widowControl w:val="0"/>
              <w:pBdr>
                <w:top w:val="nil"/>
                <w:left w:val="nil"/>
                <w:bottom w:val="nil"/>
                <w:right w:val="nil"/>
                <w:between w:val="nil"/>
              </w:pBdr>
              <w:spacing w:before="235" w:line="229" w:lineRule="auto"/>
              <w:ind w:right="122"/>
              <w:jc w:val="both"/>
              <w:rPr>
                <w:color w:val="000000"/>
                <w:sz w:val="20"/>
                <w:szCs w:val="20"/>
              </w:rPr>
            </w:pPr>
            <w:r>
              <w:rPr>
                <w:color w:val="000000"/>
                <w:sz w:val="20"/>
                <w:szCs w:val="20"/>
              </w:rPr>
              <w:t>T</w:t>
            </w:r>
            <w:r w:rsidR="009369E2" w:rsidRPr="00451993">
              <w:rPr>
                <w:color w:val="000000"/>
                <w:sz w:val="20"/>
                <w:szCs w:val="20"/>
              </w:rPr>
              <w:t>he relationship between breastfeeding practices, maternal dietary intake</w:t>
            </w:r>
            <w:r w:rsidR="00F5125C" w:rsidRPr="00451993">
              <w:rPr>
                <w:color w:val="000000"/>
                <w:sz w:val="20"/>
                <w:szCs w:val="20"/>
              </w:rPr>
              <w:t xml:space="preserve"> and postpartum health </w:t>
            </w:r>
            <w:r>
              <w:rPr>
                <w:color w:val="000000"/>
                <w:sz w:val="20"/>
                <w:szCs w:val="20"/>
              </w:rPr>
              <w:t>is a public health concern</w:t>
            </w:r>
            <w:r w:rsidR="009369E2" w:rsidRPr="00451993">
              <w:rPr>
                <w:color w:val="000000"/>
                <w:sz w:val="20"/>
                <w:szCs w:val="20"/>
              </w:rPr>
              <w:t>. This study aimed to compare maternal dietary intake with the Recommended Nutrient Intake (RNI) 2017, examine associations between breastfeeding practices and maternal health outcomes</w:t>
            </w:r>
            <w:r w:rsidR="00F5125C" w:rsidRPr="00451993">
              <w:rPr>
                <w:color w:val="000000"/>
                <w:sz w:val="20"/>
                <w:szCs w:val="20"/>
              </w:rPr>
              <w:t xml:space="preserve"> (blood pressure and body mass index)</w:t>
            </w:r>
            <w:r w:rsidR="009369E2" w:rsidRPr="00451993">
              <w:rPr>
                <w:color w:val="000000"/>
                <w:sz w:val="20"/>
                <w:szCs w:val="20"/>
              </w:rPr>
              <w:t xml:space="preserve">, and identify predictors of blood pressure and </w:t>
            </w:r>
            <w:r w:rsidR="00F5125C" w:rsidRPr="00451993">
              <w:rPr>
                <w:color w:val="000000"/>
                <w:sz w:val="20"/>
                <w:szCs w:val="20"/>
              </w:rPr>
              <w:t>body mass index</w:t>
            </w:r>
            <w:r w:rsidR="009369E2" w:rsidRPr="00451993">
              <w:rPr>
                <w:color w:val="000000"/>
                <w:sz w:val="20"/>
                <w:szCs w:val="20"/>
              </w:rPr>
              <w:t xml:space="preserve"> among postpartum breastfeeding mothers in Kinta Valley, Perak.</w:t>
            </w:r>
          </w:p>
          <w:p w14:paraId="4D9A708E" w14:textId="77777777" w:rsidR="00EF6F75" w:rsidRDefault="00EF6F75" w:rsidP="00EF6F75">
            <w:pPr>
              <w:jc w:val="both"/>
              <w:rPr>
                <w:b/>
                <w:bCs/>
                <w:sz w:val="20"/>
                <w:szCs w:val="20"/>
              </w:rPr>
            </w:pPr>
          </w:p>
          <w:p w14:paraId="0AEE62B2" w14:textId="268EC14D" w:rsidR="00EF6F75" w:rsidRPr="00633ABF" w:rsidRDefault="00EF6F75" w:rsidP="00EF6F75">
            <w:pPr>
              <w:jc w:val="both"/>
              <w:rPr>
                <w:b/>
                <w:bCs/>
                <w:sz w:val="20"/>
                <w:szCs w:val="20"/>
              </w:rPr>
            </w:pPr>
            <w:r w:rsidRPr="00633ABF">
              <w:rPr>
                <w:b/>
                <w:bCs/>
                <w:sz w:val="20"/>
                <w:szCs w:val="20"/>
              </w:rPr>
              <w:t>Methodology</w:t>
            </w:r>
          </w:p>
          <w:p w14:paraId="5AC45423" w14:textId="24C4CDD8" w:rsidR="009369E2" w:rsidRDefault="009F11B7" w:rsidP="00724B1E">
            <w:pPr>
              <w:widowControl w:val="0"/>
              <w:pBdr>
                <w:top w:val="nil"/>
                <w:left w:val="nil"/>
                <w:bottom w:val="nil"/>
                <w:right w:val="nil"/>
                <w:between w:val="nil"/>
              </w:pBdr>
              <w:spacing w:before="195" w:line="229" w:lineRule="auto"/>
              <w:ind w:right="122"/>
              <w:jc w:val="both"/>
              <w:rPr>
                <w:color w:val="000000"/>
                <w:sz w:val="20"/>
                <w:szCs w:val="20"/>
              </w:rPr>
            </w:pPr>
            <w:r w:rsidRPr="009F11B7">
              <w:rPr>
                <w:color w:val="000000"/>
                <w:sz w:val="20"/>
                <w:szCs w:val="20"/>
              </w:rPr>
              <w:t>A retrospective study was employed</w:t>
            </w:r>
            <w:r w:rsidR="00EF6F75">
              <w:rPr>
                <w:color w:val="000000"/>
                <w:sz w:val="20"/>
                <w:szCs w:val="20"/>
              </w:rPr>
              <w:t xml:space="preserve">. </w:t>
            </w:r>
            <w:r w:rsidR="00BC44A1">
              <w:rPr>
                <w:color w:val="000000"/>
                <w:sz w:val="20"/>
                <w:szCs w:val="20"/>
              </w:rPr>
              <w:t>A cross-sectional survey data</w:t>
            </w:r>
            <w:r w:rsidR="00724B1E">
              <w:rPr>
                <w:color w:val="000000"/>
                <w:sz w:val="20"/>
                <w:szCs w:val="20"/>
              </w:rPr>
              <w:t xml:space="preserve"> of p</w:t>
            </w:r>
            <w:r w:rsidR="009369E2" w:rsidRPr="00451993">
              <w:rPr>
                <w:color w:val="000000"/>
                <w:sz w:val="20"/>
                <w:szCs w:val="20"/>
              </w:rPr>
              <w:t>ostpartum mothers attend</w:t>
            </w:r>
            <w:r w:rsidR="00EF6F75">
              <w:rPr>
                <w:color w:val="000000"/>
                <w:sz w:val="20"/>
                <w:szCs w:val="20"/>
              </w:rPr>
              <w:t>ed</w:t>
            </w:r>
            <w:r w:rsidR="009369E2" w:rsidRPr="00451993">
              <w:rPr>
                <w:color w:val="000000"/>
                <w:sz w:val="20"/>
                <w:szCs w:val="20"/>
              </w:rPr>
              <w:t xml:space="preserve"> Greentown Health Clinic, Perak, Malaysia</w:t>
            </w:r>
            <w:r w:rsidR="00EF6F75">
              <w:rPr>
                <w:color w:val="000000"/>
                <w:sz w:val="20"/>
                <w:szCs w:val="20"/>
              </w:rPr>
              <w:t xml:space="preserve"> </w:t>
            </w:r>
            <w:r w:rsidR="00724B1E" w:rsidRPr="00724B1E">
              <w:rPr>
                <w:color w:val="000000"/>
                <w:sz w:val="20"/>
                <w:szCs w:val="20"/>
              </w:rPr>
              <w:t>from June 2024 to January 2025</w:t>
            </w:r>
            <w:r w:rsidR="00724B1E">
              <w:rPr>
                <w:color w:val="000000"/>
                <w:sz w:val="20"/>
                <w:szCs w:val="20"/>
              </w:rPr>
              <w:t xml:space="preserve"> </w:t>
            </w:r>
            <w:r w:rsidR="00EF6F75">
              <w:rPr>
                <w:color w:val="000000"/>
                <w:sz w:val="20"/>
                <w:szCs w:val="20"/>
              </w:rPr>
              <w:t xml:space="preserve">were </w:t>
            </w:r>
            <w:r>
              <w:rPr>
                <w:color w:val="000000"/>
                <w:sz w:val="20"/>
                <w:szCs w:val="20"/>
              </w:rPr>
              <w:t>retrieved</w:t>
            </w:r>
            <w:r w:rsidR="00EF6F75">
              <w:rPr>
                <w:color w:val="000000"/>
                <w:sz w:val="20"/>
                <w:szCs w:val="20"/>
              </w:rPr>
              <w:t xml:space="preserve"> for further data analysis</w:t>
            </w:r>
            <w:r w:rsidR="009369E2" w:rsidRPr="00451993">
              <w:rPr>
                <w:color w:val="000000"/>
                <w:sz w:val="20"/>
                <w:szCs w:val="20"/>
              </w:rPr>
              <w:t>.</w:t>
            </w:r>
            <w:r w:rsidR="0050540F">
              <w:t xml:space="preserve"> </w:t>
            </w:r>
            <w:r w:rsidR="0050540F" w:rsidRPr="0050540F">
              <w:rPr>
                <w:color w:val="000000"/>
                <w:sz w:val="20"/>
                <w:szCs w:val="20"/>
              </w:rPr>
              <w:t>A non-probability convenience sampling method was utilized to recruit participants for this study.</w:t>
            </w:r>
            <w:r w:rsidR="009369E2" w:rsidRPr="00451993">
              <w:rPr>
                <w:color w:val="000000"/>
                <w:sz w:val="20"/>
                <w:szCs w:val="20"/>
              </w:rPr>
              <w:t xml:space="preserve"> </w:t>
            </w:r>
            <w:r w:rsidR="009564B9">
              <w:rPr>
                <w:color w:val="000000"/>
                <w:sz w:val="20"/>
                <w:szCs w:val="20"/>
              </w:rPr>
              <w:t>I</w:t>
            </w:r>
            <w:r w:rsidR="0050540F">
              <w:rPr>
                <w:color w:val="000000"/>
                <w:sz w:val="20"/>
                <w:szCs w:val="20"/>
              </w:rPr>
              <w:t>nclusion criteria</w:t>
            </w:r>
            <w:r w:rsidR="009564B9">
              <w:rPr>
                <w:color w:val="000000"/>
                <w:sz w:val="20"/>
                <w:szCs w:val="20"/>
              </w:rPr>
              <w:t xml:space="preserve"> were mothers</w:t>
            </w:r>
            <w:r w:rsidR="0050540F">
              <w:rPr>
                <w:color w:val="000000"/>
                <w:sz w:val="20"/>
                <w:szCs w:val="20"/>
              </w:rPr>
              <w:t xml:space="preserve"> breastfeeding </w:t>
            </w:r>
            <w:r w:rsidR="00724B1E" w:rsidRPr="00451993">
              <w:rPr>
                <w:color w:val="000000"/>
                <w:sz w:val="20"/>
                <w:szCs w:val="20"/>
              </w:rPr>
              <w:t>within two years</w:t>
            </w:r>
            <w:r w:rsidR="009564B9">
              <w:rPr>
                <w:color w:val="000000"/>
                <w:sz w:val="20"/>
                <w:szCs w:val="20"/>
              </w:rPr>
              <w:t xml:space="preserve"> of</w:t>
            </w:r>
            <w:r w:rsidR="00724B1E" w:rsidRPr="00451993">
              <w:rPr>
                <w:color w:val="000000"/>
                <w:sz w:val="20"/>
                <w:szCs w:val="20"/>
              </w:rPr>
              <w:t xml:space="preserve"> postpartum</w:t>
            </w:r>
            <w:r w:rsidR="009564B9">
              <w:rPr>
                <w:color w:val="000000"/>
                <w:sz w:val="20"/>
                <w:szCs w:val="20"/>
              </w:rPr>
              <w:t xml:space="preserve"> and</w:t>
            </w:r>
            <w:r w:rsidR="00724B1E">
              <w:rPr>
                <w:color w:val="000000"/>
                <w:sz w:val="20"/>
                <w:szCs w:val="20"/>
              </w:rPr>
              <w:t xml:space="preserve"> </w:t>
            </w:r>
            <w:r w:rsidR="00724B1E" w:rsidRPr="00724B1E">
              <w:rPr>
                <w:color w:val="000000"/>
                <w:sz w:val="20"/>
                <w:szCs w:val="20"/>
              </w:rPr>
              <w:t xml:space="preserve">aged above 18 years </w:t>
            </w:r>
            <w:r w:rsidR="009564B9">
              <w:rPr>
                <w:color w:val="000000"/>
                <w:sz w:val="20"/>
                <w:szCs w:val="20"/>
              </w:rPr>
              <w:t xml:space="preserve">old. </w:t>
            </w:r>
            <w:r w:rsidR="0045681F">
              <w:rPr>
                <w:color w:val="000000"/>
                <w:sz w:val="20"/>
                <w:szCs w:val="20"/>
              </w:rPr>
              <w:t>Mothers who d</w:t>
            </w:r>
            <w:r w:rsidR="003900A9">
              <w:rPr>
                <w:color w:val="000000"/>
                <w:sz w:val="20"/>
                <w:szCs w:val="20"/>
              </w:rPr>
              <w:t>o</w:t>
            </w:r>
            <w:r w:rsidR="0045681F">
              <w:rPr>
                <w:color w:val="000000"/>
                <w:sz w:val="20"/>
                <w:szCs w:val="20"/>
              </w:rPr>
              <w:t xml:space="preserve"> not fulfil the inclusion criteria</w:t>
            </w:r>
            <w:r w:rsidR="009564B9">
              <w:rPr>
                <w:color w:val="000000"/>
                <w:sz w:val="20"/>
                <w:szCs w:val="20"/>
              </w:rPr>
              <w:t>,</w:t>
            </w:r>
            <w:r w:rsidR="0045681F">
              <w:rPr>
                <w:color w:val="000000"/>
                <w:sz w:val="20"/>
                <w:szCs w:val="20"/>
              </w:rPr>
              <w:t xml:space="preserve"> diagnosed with illness or impairment were excluded from the study.</w:t>
            </w:r>
            <w:r w:rsidR="009369E2" w:rsidRPr="00451993">
              <w:rPr>
                <w:color w:val="000000"/>
                <w:sz w:val="20"/>
                <w:szCs w:val="20"/>
              </w:rPr>
              <w:t xml:space="preserve"> Sociodemographic, obstetric, breastfeeding, dietary, blood pressure, and anthropometric data were retrieved from structured questionnaires. Dietary intake was assessed using a single 24-hour dietary recall and analysed using Nutritionist Pro™ software. Statistical analyses were performed using SPSS version 31. </w:t>
            </w:r>
          </w:p>
          <w:p w14:paraId="1461F132" w14:textId="77777777" w:rsidR="009F11B7" w:rsidRDefault="009F11B7" w:rsidP="00EF6F75">
            <w:pPr>
              <w:jc w:val="both"/>
              <w:rPr>
                <w:b/>
                <w:bCs/>
                <w:sz w:val="20"/>
                <w:szCs w:val="20"/>
              </w:rPr>
            </w:pPr>
          </w:p>
          <w:p w14:paraId="543D8F3F" w14:textId="0C362624" w:rsidR="00EF6F75" w:rsidRDefault="00EF6F75" w:rsidP="00EF6F75">
            <w:pPr>
              <w:jc w:val="both"/>
              <w:rPr>
                <w:b/>
                <w:bCs/>
                <w:sz w:val="20"/>
                <w:szCs w:val="20"/>
              </w:rPr>
            </w:pPr>
            <w:r w:rsidRPr="00633ABF">
              <w:rPr>
                <w:b/>
                <w:bCs/>
                <w:sz w:val="20"/>
                <w:szCs w:val="20"/>
              </w:rPr>
              <w:t>Results</w:t>
            </w:r>
          </w:p>
          <w:p w14:paraId="492A8AFA" w14:textId="1B066E05" w:rsidR="009369E2" w:rsidRDefault="009564B9" w:rsidP="00EF6F75">
            <w:pPr>
              <w:jc w:val="both"/>
              <w:rPr>
                <w:color w:val="000000"/>
                <w:sz w:val="20"/>
                <w:szCs w:val="20"/>
              </w:rPr>
            </w:pPr>
            <w:r w:rsidRPr="00451993">
              <w:rPr>
                <w:color w:val="000000"/>
                <w:sz w:val="20"/>
                <w:szCs w:val="20"/>
              </w:rPr>
              <w:t>A total of 309</w:t>
            </w:r>
            <w:r>
              <w:rPr>
                <w:color w:val="000000"/>
                <w:sz w:val="20"/>
                <w:szCs w:val="20"/>
              </w:rPr>
              <w:t xml:space="preserve"> healthy</w:t>
            </w:r>
            <w:r w:rsidRPr="00451993">
              <w:rPr>
                <w:color w:val="000000"/>
                <w:sz w:val="20"/>
                <w:szCs w:val="20"/>
              </w:rPr>
              <w:t xml:space="preserve"> breastfeeding mothers</w:t>
            </w:r>
            <w:r>
              <w:rPr>
                <w:color w:val="000000"/>
                <w:sz w:val="20"/>
                <w:szCs w:val="20"/>
              </w:rPr>
              <w:t xml:space="preserve">’ data were analysed. </w:t>
            </w:r>
            <w:r w:rsidR="009369E2" w:rsidRPr="00451993">
              <w:rPr>
                <w:color w:val="000000"/>
                <w:sz w:val="20"/>
                <w:szCs w:val="20"/>
              </w:rPr>
              <w:t>The mean maternal age was 31.23 ± 5.88 years. Most mothers practised exclusive breastfeeding (</w:t>
            </w:r>
            <w:r>
              <w:rPr>
                <w:color w:val="000000"/>
                <w:sz w:val="20"/>
                <w:szCs w:val="20"/>
              </w:rPr>
              <w:t xml:space="preserve">n= 179, </w:t>
            </w:r>
            <w:r w:rsidR="009369E2" w:rsidRPr="00451993">
              <w:rPr>
                <w:color w:val="000000"/>
                <w:sz w:val="20"/>
                <w:szCs w:val="20"/>
              </w:rPr>
              <w:t>57.9%), breast milk with complementary feeding (</w:t>
            </w:r>
            <w:r>
              <w:rPr>
                <w:color w:val="000000"/>
                <w:sz w:val="20"/>
                <w:szCs w:val="20"/>
              </w:rPr>
              <w:t xml:space="preserve">n= 62, </w:t>
            </w:r>
            <w:r w:rsidR="009369E2" w:rsidRPr="00451993">
              <w:rPr>
                <w:color w:val="000000"/>
                <w:sz w:val="20"/>
                <w:szCs w:val="20"/>
              </w:rPr>
              <w:t>20.0%), breast milk with formula feeding (</w:t>
            </w:r>
            <w:r>
              <w:rPr>
                <w:color w:val="000000"/>
                <w:sz w:val="20"/>
                <w:szCs w:val="20"/>
              </w:rPr>
              <w:t xml:space="preserve">n= 28, </w:t>
            </w:r>
            <w:r w:rsidR="009369E2" w:rsidRPr="00451993">
              <w:rPr>
                <w:color w:val="000000"/>
                <w:sz w:val="20"/>
                <w:szCs w:val="20"/>
              </w:rPr>
              <w:t xml:space="preserve">9.1%), and mixed feeding with </w:t>
            </w:r>
            <w:r w:rsidR="00F5125C" w:rsidRPr="00451993">
              <w:rPr>
                <w:color w:val="000000"/>
                <w:sz w:val="20"/>
                <w:szCs w:val="20"/>
              </w:rPr>
              <w:t>breastmilk,</w:t>
            </w:r>
            <w:r w:rsidR="009369E2" w:rsidRPr="00451993">
              <w:rPr>
                <w:color w:val="000000"/>
                <w:sz w:val="20"/>
                <w:szCs w:val="20"/>
              </w:rPr>
              <w:t xml:space="preserve"> formula and complementary food (</w:t>
            </w:r>
            <w:r>
              <w:rPr>
                <w:color w:val="000000"/>
                <w:sz w:val="20"/>
                <w:szCs w:val="20"/>
              </w:rPr>
              <w:t xml:space="preserve">n= 40, </w:t>
            </w:r>
            <w:r w:rsidR="009369E2" w:rsidRPr="00451993">
              <w:rPr>
                <w:color w:val="000000"/>
                <w:sz w:val="20"/>
                <w:szCs w:val="20"/>
              </w:rPr>
              <w:t xml:space="preserve">12.9%). Mothers generally demonstrated dietary intake with a mean adequacy ratio (MAR) of 0.66. Common micronutrient inadequacies included calcium, folate, vitamins A, C, and K. No significant association was observed between breastfeeding practices and overall energy or macronutrient adequacy (p &gt; 0.05). However, modest differences were found for protein, zinc, and fluoride intake across breastfeeding categories. </w:t>
            </w:r>
            <w:r w:rsidR="00242E79" w:rsidRPr="00242E79">
              <w:rPr>
                <w:color w:val="000000"/>
                <w:sz w:val="20"/>
                <w:szCs w:val="20"/>
              </w:rPr>
              <w:t xml:space="preserve">Compared to the reference category </w:t>
            </w:r>
            <w:r w:rsidR="00242E79">
              <w:rPr>
                <w:color w:val="000000"/>
                <w:sz w:val="20"/>
                <w:szCs w:val="20"/>
              </w:rPr>
              <w:t>exclusive breastfeeding</w:t>
            </w:r>
            <w:r w:rsidR="00242E79" w:rsidRPr="00242E79">
              <w:rPr>
                <w:color w:val="000000"/>
                <w:sz w:val="20"/>
                <w:szCs w:val="20"/>
              </w:rPr>
              <w:t xml:space="preserve">, mixed feeding </w:t>
            </w:r>
            <w:r w:rsidR="00242E79">
              <w:rPr>
                <w:color w:val="000000"/>
                <w:sz w:val="20"/>
                <w:szCs w:val="20"/>
              </w:rPr>
              <w:t xml:space="preserve">group </w:t>
            </w:r>
            <w:r w:rsidR="00242E79" w:rsidRPr="00242E79">
              <w:rPr>
                <w:color w:val="000000"/>
                <w:sz w:val="20"/>
                <w:szCs w:val="20"/>
              </w:rPr>
              <w:t xml:space="preserve">involving </w:t>
            </w:r>
            <w:r w:rsidR="00242E79">
              <w:rPr>
                <w:color w:val="000000"/>
                <w:sz w:val="20"/>
                <w:szCs w:val="20"/>
              </w:rPr>
              <w:t xml:space="preserve">breastfeeding and </w:t>
            </w:r>
            <w:r w:rsidR="00242E79" w:rsidRPr="00242E79">
              <w:rPr>
                <w:color w:val="000000"/>
                <w:sz w:val="20"/>
                <w:szCs w:val="20"/>
              </w:rPr>
              <w:t xml:space="preserve">complementary foods were associated with significantly higher systolic blood pressure. Specifically, the combination of </w:t>
            </w:r>
            <w:r w:rsidR="007037AA">
              <w:rPr>
                <w:color w:val="000000"/>
                <w:sz w:val="20"/>
                <w:szCs w:val="20"/>
              </w:rPr>
              <w:t>b</w:t>
            </w:r>
            <w:r w:rsidR="00242E79" w:rsidRPr="00242E79">
              <w:rPr>
                <w:color w:val="000000"/>
                <w:sz w:val="20"/>
                <w:szCs w:val="20"/>
              </w:rPr>
              <w:t xml:space="preserve">reastfeeding and </w:t>
            </w:r>
            <w:r w:rsidR="007037AA">
              <w:rPr>
                <w:color w:val="000000"/>
                <w:sz w:val="20"/>
                <w:szCs w:val="20"/>
              </w:rPr>
              <w:t>c</w:t>
            </w:r>
            <w:r w:rsidR="00242E79" w:rsidRPr="00242E79">
              <w:rPr>
                <w:color w:val="000000"/>
                <w:sz w:val="20"/>
                <w:szCs w:val="20"/>
              </w:rPr>
              <w:t xml:space="preserve">omplementary </w:t>
            </w:r>
            <w:r w:rsidR="007037AA">
              <w:rPr>
                <w:color w:val="000000"/>
                <w:sz w:val="20"/>
                <w:szCs w:val="20"/>
              </w:rPr>
              <w:t>f</w:t>
            </w:r>
            <w:r w:rsidR="00242E79" w:rsidRPr="00242E79">
              <w:rPr>
                <w:color w:val="000000"/>
                <w:sz w:val="20"/>
                <w:szCs w:val="20"/>
              </w:rPr>
              <w:t xml:space="preserve">eeding was a strong </w:t>
            </w:r>
            <w:r w:rsidR="00242E79" w:rsidRPr="00242E79">
              <w:rPr>
                <w:color w:val="000000"/>
                <w:sz w:val="20"/>
                <w:szCs w:val="20"/>
              </w:rPr>
              <w:lastRenderedPageBreak/>
              <w:t xml:space="preserve">positive predictor of </w:t>
            </w:r>
            <w:proofErr w:type="spellStart"/>
            <w:r w:rsidR="00242E79" w:rsidRPr="00242E79">
              <w:rPr>
                <w:color w:val="000000"/>
                <w:sz w:val="20"/>
                <w:szCs w:val="20"/>
              </w:rPr>
              <w:t>sBP</w:t>
            </w:r>
            <w:proofErr w:type="spellEnd"/>
            <w:r w:rsidR="00242E79" w:rsidRPr="00242E79">
              <w:rPr>
                <w:color w:val="000000"/>
                <w:sz w:val="20"/>
                <w:szCs w:val="20"/>
              </w:rPr>
              <w:t xml:space="preserve"> (B = 12.30,</w:t>
            </w:r>
            <w:r w:rsidR="00242E79">
              <w:rPr>
                <w:color w:val="000000"/>
                <w:sz w:val="20"/>
                <w:szCs w:val="20"/>
              </w:rPr>
              <w:t xml:space="preserve"> </w:t>
            </w:r>
            <w:r w:rsidR="00242E79" w:rsidRPr="00451993">
              <w:rPr>
                <w:color w:val="000000"/>
                <w:sz w:val="20"/>
                <w:szCs w:val="20"/>
              </w:rPr>
              <w:t>β</w:t>
            </w:r>
            <w:r w:rsidR="00242E79" w:rsidRPr="00242E79">
              <w:rPr>
                <w:color w:val="000000"/>
                <w:sz w:val="20"/>
                <w:szCs w:val="20"/>
              </w:rPr>
              <w:t xml:space="preserve"> = </w:t>
            </w:r>
            <w:r w:rsidR="003900A9">
              <w:rPr>
                <w:color w:val="000000"/>
                <w:sz w:val="20"/>
                <w:szCs w:val="20"/>
              </w:rPr>
              <w:t>0</w:t>
            </w:r>
            <w:r w:rsidR="00242E79" w:rsidRPr="00242E79">
              <w:rPr>
                <w:color w:val="000000"/>
                <w:sz w:val="20"/>
                <w:szCs w:val="20"/>
              </w:rPr>
              <w:t xml:space="preserve">.356, t = 6.49, p &lt; </w:t>
            </w:r>
            <w:r w:rsidR="003900A9">
              <w:rPr>
                <w:color w:val="000000"/>
                <w:sz w:val="20"/>
                <w:szCs w:val="20"/>
              </w:rPr>
              <w:t>0</w:t>
            </w:r>
            <w:r w:rsidR="00242E79" w:rsidRPr="00242E79">
              <w:rPr>
                <w:color w:val="000000"/>
                <w:sz w:val="20"/>
                <w:szCs w:val="20"/>
              </w:rPr>
              <w:t xml:space="preserve">.001), as was the combination of </w:t>
            </w:r>
            <w:r w:rsidR="00242E79">
              <w:rPr>
                <w:color w:val="000000"/>
                <w:sz w:val="20"/>
                <w:szCs w:val="20"/>
              </w:rPr>
              <w:t>b</w:t>
            </w:r>
            <w:r w:rsidR="00242E79" w:rsidRPr="00242E79">
              <w:rPr>
                <w:color w:val="000000"/>
                <w:sz w:val="20"/>
                <w:szCs w:val="20"/>
              </w:rPr>
              <w:t xml:space="preserve">reastfeeding, </w:t>
            </w:r>
            <w:r w:rsidR="00242E79">
              <w:rPr>
                <w:color w:val="000000"/>
                <w:sz w:val="20"/>
                <w:szCs w:val="20"/>
              </w:rPr>
              <w:t>c</w:t>
            </w:r>
            <w:r w:rsidR="00242E79" w:rsidRPr="00242E79">
              <w:rPr>
                <w:color w:val="000000"/>
                <w:sz w:val="20"/>
                <w:szCs w:val="20"/>
              </w:rPr>
              <w:t xml:space="preserve">omplementary </w:t>
            </w:r>
            <w:r w:rsidR="00242E79">
              <w:rPr>
                <w:color w:val="000000"/>
                <w:sz w:val="20"/>
                <w:szCs w:val="20"/>
              </w:rPr>
              <w:t>f</w:t>
            </w:r>
            <w:r w:rsidR="00242E79" w:rsidRPr="00242E79">
              <w:rPr>
                <w:color w:val="000000"/>
                <w:sz w:val="20"/>
                <w:szCs w:val="20"/>
              </w:rPr>
              <w:t xml:space="preserve">eeding, and </w:t>
            </w:r>
            <w:r w:rsidR="00242E79">
              <w:rPr>
                <w:color w:val="000000"/>
                <w:sz w:val="20"/>
                <w:szCs w:val="20"/>
              </w:rPr>
              <w:t>f</w:t>
            </w:r>
            <w:r w:rsidR="00242E79" w:rsidRPr="00242E79">
              <w:rPr>
                <w:color w:val="000000"/>
                <w:sz w:val="20"/>
                <w:szCs w:val="20"/>
              </w:rPr>
              <w:t>ormula (B = 9.87,</w:t>
            </w:r>
            <w:r w:rsidR="00242E79">
              <w:rPr>
                <w:color w:val="000000"/>
                <w:sz w:val="20"/>
                <w:szCs w:val="20"/>
              </w:rPr>
              <w:t xml:space="preserve"> </w:t>
            </w:r>
            <w:r w:rsidR="00242E79" w:rsidRPr="00451993">
              <w:rPr>
                <w:color w:val="000000"/>
                <w:sz w:val="20"/>
                <w:szCs w:val="20"/>
              </w:rPr>
              <w:t>β</w:t>
            </w:r>
            <w:r w:rsidR="00242E79" w:rsidRPr="00242E79">
              <w:rPr>
                <w:color w:val="000000"/>
                <w:sz w:val="20"/>
                <w:szCs w:val="20"/>
              </w:rPr>
              <w:t xml:space="preserve"> = </w:t>
            </w:r>
            <w:r w:rsidR="003900A9">
              <w:rPr>
                <w:color w:val="000000"/>
                <w:sz w:val="20"/>
                <w:szCs w:val="20"/>
              </w:rPr>
              <w:t>0</w:t>
            </w:r>
            <w:r w:rsidR="00242E79" w:rsidRPr="00242E79">
              <w:rPr>
                <w:color w:val="000000"/>
                <w:sz w:val="20"/>
                <w:szCs w:val="20"/>
              </w:rPr>
              <w:t>.240,</w:t>
            </w:r>
            <w:r w:rsidR="00242E79">
              <w:rPr>
                <w:color w:val="000000"/>
                <w:sz w:val="20"/>
                <w:szCs w:val="20"/>
              </w:rPr>
              <w:t xml:space="preserve"> </w:t>
            </w:r>
            <w:r w:rsidR="00242E79" w:rsidRPr="00242E79">
              <w:rPr>
                <w:color w:val="000000"/>
                <w:sz w:val="20"/>
                <w:szCs w:val="20"/>
              </w:rPr>
              <w:t>t = 4.39,</w:t>
            </w:r>
            <w:r w:rsidR="00242E79">
              <w:rPr>
                <w:color w:val="000000"/>
                <w:sz w:val="20"/>
                <w:szCs w:val="20"/>
              </w:rPr>
              <w:t xml:space="preserve"> </w:t>
            </w:r>
            <w:r w:rsidR="00242E79" w:rsidRPr="00242E79">
              <w:rPr>
                <w:color w:val="000000"/>
                <w:sz w:val="20"/>
                <w:szCs w:val="20"/>
              </w:rPr>
              <w:t xml:space="preserve">p &lt; </w:t>
            </w:r>
            <w:r w:rsidR="003900A9">
              <w:rPr>
                <w:color w:val="000000"/>
                <w:sz w:val="20"/>
                <w:szCs w:val="20"/>
              </w:rPr>
              <w:t>0</w:t>
            </w:r>
            <w:r w:rsidR="00242E79" w:rsidRPr="00242E79">
              <w:rPr>
                <w:color w:val="000000"/>
                <w:sz w:val="20"/>
                <w:szCs w:val="20"/>
              </w:rPr>
              <w:t>.001).</w:t>
            </w:r>
            <w:r w:rsidR="009369E2" w:rsidRPr="00451993">
              <w:rPr>
                <w:color w:val="000000"/>
                <w:sz w:val="20"/>
                <w:szCs w:val="20"/>
              </w:rPr>
              <w:t xml:space="preserve"> Multiple linear regression analysis revealed that</w:t>
            </w:r>
            <w:r w:rsidR="007C775D" w:rsidRPr="00451993">
              <w:rPr>
                <w:color w:val="000000"/>
                <w:sz w:val="20"/>
                <w:szCs w:val="20"/>
              </w:rPr>
              <w:t xml:space="preserve"> </w:t>
            </w:r>
            <w:r w:rsidR="0079366B" w:rsidRPr="0079366B">
              <w:rPr>
                <w:color w:val="000000"/>
                <w:sz w:val="20"/>
                <w:szCs w:val="20"/>
              </w:rPr>
              <w:t>relative to immediate initiation (&lt;1</w:t>
            </w:r>
            <w:r w:rsidR="0079366B">
              <w:rPr>
                <w:color w:val="000000"/>
                <w:sz w:val="20"/>
                <w:szCs w:val="20"/>
              </w:rPr>
              <w:t xml:space="preserve"> </w:t>
            </w:r>
            <w:r w:rsidR="0079366B" w:rsidRPr="0079366B">
              <w:rPr>
                <w:color w:val="000000"/>
                <w:sz w:val="20"/>
                <w:szCs w:val="20"/>
              </w:rPr>
              <w:t>hour), delaying breastfeeding initiation to 1</w:t>
            </w:r>
            <w:r w:rsidR="0079366B">
              <w:rPr>
                <w:color w:val="000000"/>
                <w:sz w:val="20"/>
                <w:szCs w:val="20"/>
              </w:rPr>
              <w:t>-</w:t>
            </w:r>
            <w:r w:rsidR="0079366B" w:rsidRPr="0079366B">
              <w:rPr>
                <w:color w:val="000000"/>
                <w:sz w:val="20"/>
                <w:szCs w:val="20"/>
              </w:rPr>
              <w:t>3 hours (</w:t>
            </w:r>
            <w:r w:rsidR="0079366B" w:rsidRPr="00451993">
              <w:rPr>
                <w:color w:val="000000"/>
                <w:sz w:val="20"/>
                <w:szCs w:val="20"/>
              </w:rPr>
              <w:t>β</w:t>
            </w:r>
            <w:r w:rsidR="0079366B" w:rsidRPr="0079366B">
              <w:rPr>
                <w:color w:val="000000"/>
                <w:sz w:val="20"/>
                <w:szCs w:val="20"/>
              </w:rPr>
              <w:t xml:space="preserve"> = 4.043, p = 0.037) and 12</w:t>
            </w:r>
            <w:r w:rsidR="0079366B">
              <w:rPr>
                <w:color w:val="000000"/>
                <w:sz w:val="20"/>
                <w:szCs w:val="20"/>
              </w:rPr>
              <w:t>-</w:t>
            </w:r>
            <w:r w:rsidR="0079366B" w:rsidRPr="0079366B">
              <w:rPr>
                <w:color w:val="000000"/>
                <w:sz w:val="20"/>
                <w:szCs w:val="20"/>
              </w:rPr>
              <w:t>48 hours (</w:t>
            </w:r>
            <w:r w:rsidR="0079366B" w:rsidRPr="00451993">
              <w:rPr>
                <w:color w:val="000000"/>
                <w:sz w:val="20"/>
                <w:szCs w:val="20"/>
              </w:rPr>
              <w:t>β</w:t>
            </w:r>
            <w:r w:rsidR="0079366B" w:rsidRPr="0079366B">
              <w:rPr>
                <w:color w:val="000000"/>
                <w:sz w:val="20"/>
                <w:szCs w:val="20"/>
              </w:rPr>
              <w:t xml:space="preserve"> = 15.899, p = 0.020) was significantly associated with higher maternal </w:t>
            </w:r>
            <w:proofErr w:type="spellStart"/>
            <w:r w:rsidR="0079366B" w:rsidRPr="0079366B">
              <w:rPr>
                <w:color w:val="000000"/>
                <w:sz w:val="20"/>
                <w:szCs w:val="20"/>
              </w:rPr>
              <w:t>sBP</w:t>
            </w:r>
            <w:proofErr w:type="spellEnd"/>
            <w:r w:rsidR="0079366B" w:rsidRPr="0079366B">
              <w:rPr>
                <w:color w:val="000000"/>
                <w:sz w:val="20"/>
                <w:szCs w:val="20"/>
              </w:rPr>
              <w:t>. Additionally, with Islam utilized as the religious reference group, mothers identifying with Hinduism demonstrated significantly lower postpartum systolic blood pressure (</w:t>
            </w:r>
            <w:r w:rsidR="0079366B" w:rsidRPr="00451993">
              <w:rPr>
                <w:color w:val="000000"/>
                <w:sz w:val="20"/>
                <w:szCs w:val="20"/>
              </w:rPr>
              <w:t>β</w:t>
            </w:r>
            <w:r w:rsidR="0079366B" w:rsidRPr="0079366B">
              <w:rPr>
                <w:color w:val="000000"/>
                <w:sz w:val="20"/>
                <w:szCs w:val="20"/>
              </w:rPr>
              <w:t xml:space="preserve"> = -5.450, p = 0.044).</w:t>
            </w:r>
            <w:r w:rsidR="009369E2" w:rsidRPr="00451993">
              <w:rPr>
                <w:color w:val="000000"/>
                <w:sz w:val="20"/>
                <w:szCs w:val="20"/>
              </w:rPr>
              <w:t xml:space="preserve"> </w:t>
            </w:r>
            <w:r w:rsidR="000B1BED">
              <w:rPr>
                <w:color w:val="000000"/>
                <w:sz w:val="20"/>
                <w:szCs w:val="20"/>
              </w:rPr>
              <w:t xml:space="preserve">Infant age </w:t>
            </w:r>
            <w:r w:rsidR="000B1BED" w:rsidRPr="000B1BED">
              <w:rPr>
                <w:color w:val="000000"/>
                <w:sz w:val="20"/>
                <w:szCs w:val="20"/>
              </w:rPr>
              <w:t>with each increasing month of age associated with a marginal increase in maternal BMI (B = 0.081, p = 0.042)</w:t>
            </w:r>
            <w:r w:rsidR="000B1BED">
              <w:rPr>
                <w:color w:val="000000"/>
                <w:sz w:val="20"/>
                <w:szCs w:val="20"/>
              </w:rPr>
              <w:t>. R</w:t>
            </w:r>
            <w:r w:rsidR="000B1BED" w:rsidRPr="000B1BED">
              <w:rPr>
                <w:color w:val="000000"/>
                <w:sz w:val="20"/>
                <w:szCs w:val="20"/>
              </w:rPr>
              <w:t xml:space="preserve">elative to the reference group of mothers living in their own house with their husband, </w:t>
            </w:r>
            <w:r w:rsidR="000B1BED">
              <w:rPr>
                <w:color w:val="000000"/>
                <w:sz w:val="20"/>
                <w:szCs w:val="20"/>
              </w:rPr>
              <w:t>living</w:t>
            </w:r>
            <w:r w:rsidR="000B1BED" w:rsidRPr="000B1BED">
              <w:rPr>
                <w:color w:val="000000"/>
                <w:sz w:val="20"/>
                <w:szCs w:val="20"/>
              </w:rPr>
              <w:t xml:space="preserve"> with the husband’s extended family was significantly associated with a higher BMI (B = 1.392, p = 0.019). </w:t>
            </w:r>
            <w:r w:rsidR="000B1BED">
              <w:rPr>
                <w:color w:val="000000"/>
                <w:sz w:val="20"/>
                <w:szCs w:val="20"/>
              </w:rPr>
              <w:t>H</w:t>
            </w:r>
            <w:r w:rsidR="009369E2" w:rsidRPr="00451993">
              <w:rPr>
                <w:color w:val="000000"/>
                <w:sz w:val="20"/>
                <w:szCs w:val="20"/>
              </w:rPr>
              <w:t xml:space="preserve">aving a dedicated breastfeeding space </w:t>
            </w:r>
            <w:r w:rsidR="000B1BED" w:rsidRPr="000B1BED">
              <w:rPr>
                <w:color w:val="000000"/>
                <w:sz w:val="20"/>
                <w:szCs w:val="20"/>
              </w:rPr>
              <w:t>(B = 1.607, p = 0.023)</w:t>
            </w:r>
            <w:r w:rsidR="000B1BED">
              <w:rPr>
                <w:color w:val="000000"/>
                <w:sz w:val="20"/>
                <w:szCs w:val="20"/>
              </w:rPr>
              <w:t xml:space="preserve"> </w:t>
            </w:r>
            <w:r w:rsidR="000B1BED" w:rsidRPr="000B1BED">
              <w:rPr>
                <w:color w:val="000000"/>
                <w:sz w:val="20"/>
                <w:szCs w:val="20"/>
              </w:rPr>
              <w:t>was a significant independent predictor of higher maternal BMI</w:t>
            </w:r>
            <w:r w:rsidR="009369E2" w:rsidRPr="00451993">
              <w:rPr>
                <w:color w:val="000000"/>
                <w:sz w:val="20"/>
                <w:szCs w:val="20"/>
              </w:rPr>
              <w:t>.</w:t>
            </w:r>
          </w:p>
          <w:p w14:paraId="727FD83A" w14:textId="77777777" w:rsidR="00EF6F75" w:rsidRDefault="00EF6F75" w:rsidP="00EF6F75">
            <w:pPr>
              <w:jc w:val="both"/>
              <w:rPr>
                <w:color w:val="000000"/>
                <w:sz w:val="20"/>
                <w:szCs w:val="20"/>
              </w:rPr>
            </w:pPr>
          </w:p>
          <w:p w14:paraId="12444957" w14:textId="77777777" w:rsidR="00EF6F75" w:rsidRPr="00633ABF" w:rsidRDefault="00EF6F75" w:rsidP="00EF6F75">
            <w:pPr>
              <w:jc w:val="both"/>
              <w:rPr>
                <w:b/>
                <w:bCs/>
                <w:sz w:val="20"/>
                <w:szCs w:val="20"/>
              </w:rPr>
            </w:pPr>
            <w:r w:rsidRPr="00633ABF">
              <w:rPr>
                <w:b/>
                <w:bCs/>
                <w:sz w:val="20"/>
                <w:szCs w:val="20"/>
              </w:rPr>
              <w:t>Conclusion</w:t>
            </w:r>
          </w:p>
          <w:p w14:paraId="74F95BE2" w14:textId="77777777" w:rsidR="009369E2" w:rsidRPr="00451993" w:rsidRDefault="009369E2" w:rsidP="00EF6F75">
            <w:pPr>
              <w:widowControl w:val="0"/>
              <w:pBdr>
                <w:top w:val="nil"/>
                <w:left w:val="nil"/>
                <w:bottom w:val="nil"/>
                <w:right w:val="nil"/>
                <w:between w:val="nil"/>
              </w:pBdr>
              <w:spacing w:before="195" w:line="240" w:lineRule="auto"/>
              <w:ind w:right="122"/>
              <w:jc w:val="both"/>
              <w:rPr>
                <w:color w:val="000000"/>
                <w:sz w:val="20"/>
                <w:szCs w:val="20"/>
              </w:rPr>
            </w:pPr>
            <w:r w:rsidRPr="00451993">
              <w:rPr>
                <w:color w:val="000000"/>
                <w:sz w:val="20"/>
                <w:szCs w:val="20"/>
              </w:rPr>
              <w:t>Exclusive breastfeeding may provide cardioprotective benefits through lower maternal systolic blood pressure, while widespread dietary inadequacies among postpartum mothers remain a significant concern. Strengthening breastfeeding promotion programmes alongside maternal nutritional support and dietary education may improve maternal cardiovascular and nutritional health outcomes. Further longitudinal studies are recommended to establish causal relationships between breastfeeding practices, dietary intake, and maternal health indicators.</w:t>
            </w:r>
          </w:p>
          <w:p w14:paraId="2450BDCF" w14:textId="6690A175" w:rsidR="009369E2" w:rsidRPr="00451993" w:rsidRDefault="009369E2" w:rsidP="00EF6F75">
            <w:pPr>
              <w:widowControl w:val="0"/>
              <w:pBdr>
                <w:top w:val="nil"/>
                <w:left w:val="nil"/>
                <w:bottom w:val="nil"/>
                <w:right w:val="nil"/>
                <w:between w:val="nil"/>
              </w:pBdr>
              <w:spacing w:before="195" w:line="240" w:lineRule="auto"/>
              <w:ind w:right="122"/>
              <w:rPr>
                <w:b/>
                <w:bCs/>
                <w:color w:val="000000"/>
                <w:sz w:val="20"/>
                <w:szCs w:val="20"/>
              </w:rPr>
            </w:pPr>
            <w:r w:rsidRPr="00451993">
              <w:rPr>
                <w:b/>
                <w:bCs/>
                <w:color w:val="000000"/>
                <w:sz w:val="20"/>
                <w:szCs w:val="20"/>
              </w:rPr>
              <w:t>Keywords:</w:t>
            </w:r>
            <w:r w:rsidRPr="00451993">
              <w:rPr>
                <w:color w:val="000000"/>
                <w:sz w:val="20"/>
                <w:szCs w:val="20"/>
              </w:rPr>
              <w:t xml:space="preserve"> Breastfeeding practices, dietary intake, blood pressure, body mass index, Malaysia</w:t>
            </w:r>
            <w:r w:rsidR="00451993" w:rsidRPr="00451993">
              <w:rPr>
                <w:color w:val="000000"/>
                <w:sz w:val="20"/>
                <w:szCs w:val="20"/>
              </w:rPr>
              <w:t xml:space="preserve"> retrospective cross-sectional study.</w:t>
            </w:r>
            <w:r w:rsidRPr="00451993">
              <w:rPr>
                <w:color w:val="000000"/>
                <w:sz w:val="20"/>
                <w:szCs w:val="20"/>
              </w:rPr>
              <w:br/>
            </w:r>
          </w:p>
          <w:p w14:paraId="4C0DB3EB" w14:textId="4D9C33E3" w:rsidR="00451993" w:rsidRPr="00451993" w:rsidRDefault="009369E2" w:rsidP="00EF6F75">
            <w:pPr>
              <w:widowControl w:val="0"/>
              <w:pBdr>
                <w:top w:val="nil"/>
                <w:left w:val="nil"/>
                <w:bottom w:val="nil"/>
                <w:right w:val="nil"/>
                <w:between w:val="nil"/>
              </w:pBdr>
              <w:spacing w:before="195" w:line="240" w:lineRule="auto"/>
              <w:ind w:right="122"/>
              <w:jc w:val="both"/>
              <w:rPr>
                <w:color w:val="000000"/>
                <w:sz w:val="20"/>
                <w:szCs w:val="20"/>
              </w:rPr>
            </w:pPr>
            <w:r w:rsidRPr="00451993">
              <w:rPr>
                <w:b/>
                <w:bCs/>
                <w:color w:val="000000"/>
                <w:sz w:val="20"/>
                <w:szCs w:val="20"/>
              </w:rPr>
              <w:t>Ethical Approval ID:</w:t>
            </w:r>
            <w:r w:rsidRPr="00451993">
              <w:rPr>
                <w:color w:val="000000"/>
                <w:sz w:val="20"/>
                <w:szCs w:val="20"/>
              </w:rPr>
              <w:t xml:space="preserve"> UTAR </w:t>
            </w:r>
            <w:r w:rsidR="00451993" w:rsidRPr="00451993">
              <w:rPr>
                <w:color w:val="000000"/>
                <w:sz w:val="20"/>
                <w:szCs w:val="20"/>
              </w:rPr>
              <w:t>Scientific Ethical and Research Committee (</w:t>
            </w:r>
            <w:r w:rsidRPr="00451993">
              <w:rPr>
                <w:color w:val="000000"/>
                <w:sz w:val="20"/>
                <w:szCs w:val="20"/>
              </w:rPr>
              <w:t>SERC</w:t>
            </w:r>
            <w:r w:rsidR="00451993" w:rsidRPr="00451993">
              <w:rPr>
                <w:color w:val="000000"/>
                <w:sz w:val="20"/>
                <w:szCs w:val="20"/>
              </w:rPr>
              <w:t>)</w:t>
            </w:r>
            <w:r w:rsidRPr="00451993">
              <w:rPr>
                <w:color w:val="000000"/>
                <w:sz w:val="20"/>
                <w:szCs w:val="20"/>
              </w:rPr>
              <w:t>/56(B)-80/2025</w:t>
            </w:r>
            <w:r w:rsidR="00451993" w:rsidRPr="00451993">
              <w:rPr>
                <w:color w:val="000000"/>
                <w:sz w:val="20"/>
                <w:szCs w:val="20"/>
              </w:rPr>
              <w:t>.</w:t>
            </w:r>
          </w:p>
        </w:tc>
      </w:tr>
    </w:tbl>
    <w:p w14:paraId="7E6CC79F" w14:textId="77777777" w:rsidR="00CF507C" w:rsidRDefault="00CF507C" w:rsidP="00451993">
      <w:pPr>
        <w:widowControl w:val="0"/>
        <w:pBdr>
          <w:top w:val="nil"/>
          <w:left w:val="nil"/>
          <w:bottom w:val="nil"/>
          <w:right w:val="nil"/>
          <w:between w:val="nil"/>
        </w:pBdr>
        <w:rPr>
          <w:color w:val="000000"/>
        </w:rPr>
      </w:pPr>
    </w:p>
    <w:sectPr w:rsidR="00CF507C">
      <w:pgSz w:w="11920" w:h="16840"/>
      <w:pgMar w:top="1040" w:right="1490" w:bottom="2349" w:left="143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1DE2383-8F7E-428B-8C05-9EF6E03019FC}"/>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2" w:fontKey="{EDC9CB51-15D2-4144-A15E-81623559FA03}"/>
  </w:font>
  <w:font w:name="Cambria">
    <w:panose1 w:val="02040503050406030204"/>
    <w:charset w:val="00"/>
    <w:family w:val="roman"/>
    <w:pitch w:val="variable"/>
    <w:sig w:usb0="E00006FF" w:usb1="420024FF" w:usb2="02000000" w:usb3="00000000" w:csb0="0000019F" w:csb1="00000000"/>
    <w:embedRegular r:id="rId3" w:fontKey="{321EC16F-F6EB-4DF7-901D-B64690E2B65D}"/>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507C"/>
    <w:rsid w:val="00022FB4"/>
    <w:rsid w:val="00025E1E"/>
    <w:rsid w:val="000B1BED"/>
    <w:rsid w:val="001B44DF"/>
    <w:rsid w:val="001E368B"/>
    <w:rsid w:val="00242E79"/>
    <w:rsid w:val="002B544B"/>
    <w:rsid w:val="002F201D"/>
    <w:rsid w:val="00341EE4"/>
    <w:rsid w:val="003900A9"/>
    <w:rsid w:val="00451993"/>
    <w:rsid w:val="0045681F"/>
    <w:rsid w:val="004B4FA5"/>
    <w:rsid w:val="004F465C"/>
    <w:rsid w:val="0050540F"/>
    <w:rsid w:val="00511DF7"/>
    <w:rsid w:val="005712E1"/>
    <w:rsid w:val="007037AA"/>
    <w:rsid w:val="00724B1E"/>
    <w:rsid w:val="0079082B"/>
    <w:rsid w:val="0079366B"/>
    <w:rsid w:val="007C775D"/>
    <w:rsid w:val="00826A8D"/>
    <w:rsid w:val="008A0A83"/>
    <w:rsid w:val="008A2038"/>
    <w:rsid w:val="008B3F8C"/>
    <w:rsid w:val="009369E2"/>
    <w:rsid w:val="009564B9"/>
    <w:rsid w:val="009F11B7"/>
    <w:rsid w:val="00A17CCB"/>
    <w:rsid w:val="00BB1918"/>
    <w:rsid w:val="00BC44A1"/>
    <w:rsid w:val="00BD56FD"/>
    <w:rsid w:val="00CF507C"/>
    <w:rsid w:val="00D57324"/>
    <w:rsid w:val="00E92FC3"/>
    <w:rsid w:val="00EF6F75"/>
    <w:rsid w:val="00F5125C"/>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B82E41"/>
  <w15:docId w15:val="{EBF33303-9697-462F-B295-38A9B5E869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MY"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1349</TotalTime>
  <Pages>2</Pages>
  <Words>740</Words>
  <Characters>4223</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GEH JIA YI</cp:lastModifiedBy>
  <cp:revision>12</cp:revision>
  <dcterms:created xsi:type="dcterms:W3CDTF">2026-06-12T13:12:00Z</dcterms:created>
  <dcterms:modified xsi:type="dcterms:W3CDTF">2026-07-02T07:31:00Z</dcterms:modified>
</cp:coreProperties>
</file>