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b/>
          <w:sz w:val="22"/>
        </w:rPr>
        <w:t>DEPARTMENT OF THE ARMY</w:t>
        <w:br/>
      </w:r>
      <w:r>
        <w:rPr>
          <w:sz w:val="22"/>
        </w:rPr>
        <w:t>U.S. ARMY RESEARCH INSTITUTE FOR THE BEHAVIORAL AND SOCIAL SCIENCES</w:t>
        <w:br/>
      </w:r>
      <w:r>
        <w:rPr>
          <w:sz w:val="22"/>
        </w:rPr>
        <w:t>DAPE-ARI-PR, 6000 6th Street (Bldg 1464), Fort Belvoir, VA 22060</w:t>
        <w:br/>
      </w:r>
    </w:p>
    <w:p>
      <w:pPr>
        <w:spacing w:line="480" w:lineRule="auto"/>
      </w:pPr>
    </w:p>
    <w:p>
      <w:pPr>
        <w:spacing w:line="480" w:lineRule="auto"/>
        <w:jc w:val="center"/>
      </w:pPr>
      <w:r>
        <w:rPr>
          <w:b/>
          <w:sz w:val="32"/>
        </w:rPr>
        <w:t>RESEARCH PLAN</w:t>
        <w:br/>
      </w:r>
    </w:p>
    <w:p>
      <w:pPr>
        <w:spacing w:line="480" w:lineRule="auto"/>
        <w:jc w:val="center"/>
      </w:pPr>
      <w:r>
        <w:rPr>
          <w:b/>
          <w:sz w:val="28"/>
        </w:rPr>
        <w:t>Army Career State Ontology Development</w:t>
        <w:br/>
      </w:r>
    </w:p>
    <w:p>
      <w:pPr>
        <w:spacing w:line="480" w:lineRule="auto"/>
      </w:pPr>
      <w:r>
        <w:rPr>
          <w:b/>
        </w:rPr>
        <w:t xml:space="preserve">SUBJECT: </w:t>
      </w:r>
      <w:r>
        <w:t>Army Career State Ontology (ACSO) Development</w:t>
      </w:r>
    </w:p>
    <w:p>
      <w:pPr>
        <w:spacing w:line="480" w:lineRule="auto"/>
      </w:pPr>
      <w:r>
        <w:rPr>
          <w:b/>
        </w:rPr>
        <w:t xml:space="preserve">Research Program: </w:t>
      </w:r>
      <w:r>
        <w:t>RP 1123, Sub-Project 7b</w:t>
      </w:r>
    </w:p>
    <w:p>
      <w:pPr>
        <w:spacing w:line="480" w:lineRule="auto"/>
      </w:pPr>
      <w:r>
        <w:rPr>
          <w:b/>
        </w:rPr>
        <w:t xml:space="preserve">Date: </w:t>
      </w:r>
      <w:r>
        <w:t>30 July 2026</w:t>
      </w:r>
    </w:p>
    <w:p>
      <w:pPr>
        <w:spacing w:line="480" w:lineRule="auto"/>
      </w:pPr>
      <w:r>
        <w:rPr>
          <w:b/>
        </w:rPr>
        <w:t xml:space="preserve">Authors: </w:t>
      </w:r>
      <w:r>
        <w:t>Andy Slaughter, DAPE-ARI-PR, 703-545-2353</w:t>
        <w:br/>
        <w:t>Naiqing Lin, DAPE-ARI-PR, 703-545-2421</w:t>
        <w:br/>
        <w:t>Sibley Lyndgaard, DAPE-ARI-PR</w:t>
      </w:r>
    </w:p>
    <w:p>
      <w:pPr>
        <w:spacing w:line="480" w:lineRule="auto"/>
      </w:pPr>
      <w:r>
        <w:rPr>
          <w:b/>
        </w:rPr>
        <w:t xml:space="preserve">Approving Official: </w:t>
      </w:r>
      <w:r>
        <w:t>Dr. Stefanie Shaughnessy, DAPE-ARI-PR, 703-545-2346</w:t>
      </w:r>
    </w:p>
    <w:p>
      <w:pPr>
        <w:spacing w:line="480" w:lineRule="auto"/>
      </w:pPr>
      <w:r>
        <w:rPr>
          <w:b/>
        </w:rPr>
        <w:t xml:space="preserve">PE: </w:t>
      </w:r>
      <w:r>
        <w:t>6.2</w:t>
      </w:r>
    </w:p>
    <w:p>
      <w:pPr>
        <w:spacing w:line="480" w:lineRule="auto"/>
      </w:pPr>
      <w:r>
        <w:rPr>
          <w:b/>
        </w:rPr>
        <w:t xml:space="preserve">Period of Performance: </w:t>
      </w:r>
      <w:r>
        <w:t>FY27 Q1 – FY29 Q4</w:t>
      </w:r>
    </w:p>
    <w:p>
      <w:pPr>
        <w:spacing w:line="480" w:lineRule="auto"/>
      </w:pPr>
      <w:r>
        <w:rPr>
          <w:b/>
        </w:rPr>
        <w:t xml:space="preserve">Transition Partner: </w:t>
      </w:r>
      <w:r>
        <w:t>HRC-RD</w:t>
      </w:r>
    </w:p>
    <w:p>
      <w:pPr>
        <w:spacing w:line="480" w:lineRule="auto"/>
      </w:pPr>
    </w:p>
    <w:p>
      <w:pPr>
        <w:pStyle w:val="Heading1"/>
        <w:jc w:val="center"/>
      </w:pPr>
      <w:r>
        <w:rPr>
          <w:rFonts w:ascii="Times New Roman" w:hAnsi="Times New Roman" w:cs="Times New Roman"/>
          <w:b/>
          <w:sz w:val="24"/>
          <w:color w:val="000000"/>
        </w:rPr>
        <w:t>Abstract</w:t>
      </w:r>
    </w:p>
    <w:p>
      <w:pPr>
        <w:spacing w:line="480" w:lineRule="auto"/>
        <w:ind w:firstLine="720"/>
      </w:pPr>
      <w:r>
        <w:t>The U.S. Army Research Institute (ARI) initiated the Army Career State Ontology (ACSO) development effort to address a critical gap in the Army's human resources data infrastructure: the absence of an integrated, ontology-based framework for systematically identifying, defining, and locating career-related data on Army officers. Current HR data reside in disparate systems and formats, requiring ad-hoc dataset construction for each research question—a process that duplicates effort, wastes resources, and hinders the development and validation of advanced modeling techniques for career pattern analysis. The ACSO project will develop a Web Ontology Language (OWL)-compliant ontology that defines the core variables constituting an officer's career state (e.g., assignment status, rank, education and training status, deployment history, professional military education completion, branch transfers), maps these variables to their source databases (e.g., the Army Data Platform, Officer Record Briefs, IPPS-A), and formalizes the relationships among them. This ontology will serve as a foundational data infrastructure product, enabling standardized career data assembly for future ARI research, supporting interoperability with sibling efforts (Occupational Task Taxonomy, Career Planning Profiler), and establishing a transition pathway to HRC-RD at Technology Readiness Level 4 by the fourth quarter of FY27.</w:t>
      </w:r>
    </w:p>
    <w:p>
      <w:pPr>
        <w:pStyle w:val="Heading1"/>
        <w:jc w:val="center"/>
      </w:pPr>
      <w:r>
        <w:rPr>
          <w:rFonts w:ascii="Times New Roman" w:hAnsi="Times New Roman" w:cs="Times New Roman"/>
          <w:b/>
          <w:sz w:val="24"/>
          <w:color w:val="000000"/>
        </w:rPr>
        <w:t>Keywords</w:t>
      </w:r>
    </w:p>
    <w:p>
      <w:pPr>
        <w:spacing w:line="480" w:lineRule="auto"/>
        <w:jc w:val="center"/>
      </w:pPr>
      <w:r>
        <w:rPr>
          <w:b/>
        </w:rPr>
        <w:t>Army Career State Ontology Development</w:t>
      </w:r>
    </w:p>
    <w:p>
      <w:pPr>
        <w:spacing w:line="480" w:lineRule="auto"/>
      </w:pPr>
      <w:r>
        <w:t>Army career states, ontology development, OWL, knowledge organization systems, officer career patterns, HR data integration, semantic web, career state variables, data interoperability, Army Data Platform, personnel ontology</w:t>
      </w:r>
    </w:p>
    <w:p>
      <w:pPr>
        <w:pStyle w:val="Heading2"/>
        <w:jc w:val="left"/>
      </w:pPr>
      <w:r>
        <w:rPr>
          <w:rFonts w:ascii="Times New Roman" w:hAnsi="Times New Roman" w:cs="Times New Roman"/>
          <w:b/>
          <w:sz w:val="24"/>
          <w:color w:val="000000"/>
        </w:rPr>
        <w:t>Problem Statement</w:t>
      </w:r>
    </w:p>
    <w:p>
      <w:pPr>
        <w:spacing w:line="480" w:lineRule="auto"/>
      </w:pPr>
      <w:r>
        <w:t>The effective management and analysis of Army officer career data depend on a shared, formal understanding of what constitutes a career state and how career-relevant variables are defined, related, and located across diverse data systems. Knowledge organization systems (KOS)—including taxonomies, thesauri, and ontologies—provide structured frameworks for defining the core concepts within a specific knowledge domain and serve as foundations for data structures (Hedden, 2010). Among these, ontologies offer the most expressive representation, enabling the formal specification of classes, properties, relationships, and instances within a domain, typically encoded in standardized languages such as the Web Ontology Language (OWL; World Wide Web Consortium [W3C], 2004). Unlike simpler controlled vocabularies or hierarchical taxonomies, ontologies support machine-readable semantics, automated reasoning, and interoperability across heterogeneous systems (Uschold &amp; Grüninger, 1996; Guarino, 1998).</w:t>
      </w:r>
    </w:p>
    <w:p>
      <w:pPr>
        <w:spacing w:line="480" w:lineRule="auto"/>
      </w:pPr>
      <w:r>
        <w:t>The Army currently lacks an integrated, ontology-based framework for describing individual career states. Human resources data on officer careers exist in disparate systems and formats—including the Officer Record Brief (ORB), the Integrated Personnel and Pay System–Army (IPPS-A), the Army Data Platform (ADP; formerly the Person Data Environment [PDE]), and various legacy databases—each with distinct schemas, access protocols, and data definitions. Consequently, researchers must collect and aggregate career data on a project-by-project basis whenever a research question arises, constructing ad-hoc datasets that are rarely reused and frequently inconsistent in their variable definitions and scope. This fragmentation makes it more difficult for ARI and the broader Army research community to leverage historical data to answer fundamental questions about career patterns, predict key outcomes such as retention and promotion, and validate advanced modeling techniques (Slaughter et al., 2026).</w:t>
      </w:r>
    </w:p>
    <w:p>
      <w:pPr>
        <w:spacing w:line="480" w:lineRule="auto"/>
      </w:pPr>
      <w:r>
        <w:t>The problem is compounded by the absence of standardized career state variable definitions. Without a common ontology, researchers independently determine which variables are relevant to a given study, how those variables are operationalized, and where the corresponding data can be found. This ad-hoc approach introduces several risks: (a) variable definitions may be inconsistent across studies, undermining comparability; (b) data access and aggregation efforts are duplicated across projects, wasting limited research resources; and (c) the absence of formal relationships among variables precludes the use of semantic reasoning and automated data integration techniques that could significantly accelerate research workflows (Noy &amp; McGuinness, 2001; Horrocks et al., 2003). As the Army increasingly relies on data-driven approaches to personnel management and talent alignment—exemplified by the Integrated Personnel and Pay System–Army (IPPS-A) and the Army Talent Alignment Framework (ATAF; Royston et al., 2022)—the need for a shared, machine-readable career state ontology becomes increasingly urgent.</w:t>
      </w:r>
    </w:p>
    <w:p>
      <w:pPr>
        <w:pStyle w:val="Heading2"/>
        <w:jc w:val="left"/>
      </w:pPr>
      <w:r>
        <w:rPr>
          <w:rFonts w:ascii="Times New Roman" w:hAnsi="Times New Roman" w:cs="Times New Roman"/>
          <w:b/>
          <w:sz w:val="24"/>
          <w:color w:val="000000"/>
        </w:rPr>
        <w:t>Theoretical Grounding</w:t>
      </w:r>
    </w:p>
    <w:p>
      <w:pPr>
        <w:spacing w:line="480" w:lineRule="auto"/>
      </w:pPr>
      <w:r>
        <w:t>This research plan is grounded in three complementary theoretical frameworks: (a) ontology engineering and knowledge organization systems, (b) career development theory, and (c) semantic web and data interoperability. Each framework informs a specific aspect of the research design, from the formal structure of the ontology to the substantive content of career state variables and the technical approach to data integration.</w:t>
      </w:r>
    </w:p>
    <w:p>
      <w:pPr>
        <w:spacing w:line="480" w:lineRule="auto"/>
      </w:pPr>
      <w:r>
        <w:t>First, ontology engineering provides the methodological foundation for constructing a domain ontology. Uschold and Grüninger (1996) defined ontology as a formal, explicit specification of a shared conceptualization, emphasizing that ontologies serve as contracts among stakeholders about the meaning of terms in a domain. Noy and McGuinness (2001) articulated a practical methodology for ontology development, emphasizing iterative construction, competency questions, and reuse of existing ontologies. Hedden (2010) distinguished the spectrum of knowledge organization systems—from simple controlled vocabularies and taxonomies through thesauri to full ontologies—noting that the distinction between a taxonomy and an ontology can be blurred by the addition of semantic relationships and custom attributes, yielding what she termed "ontology-like" or "ontology lite" systems. The ACSO project aims for full OWL compliance, positioning the artifact at the most expressive end of this spectrum, with the understanding that iterative refinement may begin with a semantically enriched controlled vocabulary and progress toward formal OWL axiomatization. This framework informs the methodology described in §5, particularly the iterative development approach and the use of competency questions for validation.</w:t>
      </w:r>
    </w:p>
    <w:p>
      <w:pPr>
        <w:spacing w:line="480" w:lineRule="auto"/>
      </w:pPr>
      <w:r>
        <w:t>Second, career development theory informs the substantive content of the ontology—specifically, which variables constitute a career state. Super (1980) described career development as a sequence of stages (growth, exploration, establishment, maintenance, and decline), each characterized by distinct roles, tasks, and developmental needs. Schein (1996) proposed the concept of career anchors—self-perceived talents, motives, and values that guide career decisions—and argued that understanding an individual's career anchor is essential for predicting career satisfaction and trajectory. In the military context, the Army's structured career progression model—with its emphasis on branch assignments, professional military education timing, and the balance between operational and broadening assignments—provides a specific instantiation of these career development theories. These perspectives inform the identification of career state variables in §5.2 and the measures in §7, ensuring that the ontology captures variables that are theoretically meaningful for understanding career patterns, not merely available in existing data systems.</w:t>
      </w:r>
    </w:p>
    <w:p>
      <w:pPr>
        <w:spacing w:line="480" w:lineRule="auto"/>
      </w:pPr>
      <w:r>
        <w:t>Third, the semantic web and data interoperability framework informs the technical approach to integrating disparate data sources. Berners-Lee et al. (2001) envisioned a Semantic Web in which data are machine-readable and semantically linked, enabling automated integration and reasoning across heterogeneous sources. Horrocks et al. (2003) demonstrated how description logics, implemented in OWL, provide the formal foundations for such integration, supporting consistency checking, classification, and implicit inference. The ontology-based data access (OBDA) paradigm (Poggi et al., 2008) extends this vision to the practical challenge of querying legacy data sources through a unified ontological view—an approach directly relevant to the ACSO project's goal of mapping career state variables to multiple Army HR databases. This framework informs the data integration methodology in §5.3 and the interoperability testing in §8.3.</w:t>
      </w:r>
    </w:p>
    <w:p>
      <w:pPr>
        <w:pStyle w:val="Heading2"/>
        <w:jc w:val="left"/>
      </w:pPr>
      <w:r>
        <w:rPr>
          <w:rFonts w:ascii="Times New Roman" w:hAnsi="Times New Roman" w:cs="Times New Roman"/>
          <w:b/>
          <w:sz w:val="24"/>
          <w:color w:val="000000"/>
        </w:rPr>
        <w:t>Purpose</w:t>
      </w:r>
    </w:p>
    <w:p>
      <w:pPr>
        <w:spacing w:line="480" w:lineRule="auto"/>
      </w:pPr>
      <w:r>
        <w:t>The purpose of this research effort is to develop an Army Career State Ontology (ACSO)—a formal, OWL-compliant ontology that defines the core variables constituting an Army officer's career state, identifies where corresponding data are stored across Army HR systems, and specifies the relationships among career state variables to support automated reasoning and data integration. The ACSO will serve as a foundational data infrastructure product, eliminating the need to recreate ad-hoc datasets for each research question about Army career patterns and enabling the development and validation of more advanced modeling techniques (Slaughter et al., 2026).</w:t>
      </w:r>
    </w:p>
    <w:p>
      <w:pPr>
        <w:pStyle w:val="Heading2"/>
        <w:jc w:val="left"/>
      </w:pPr>
      <w:r>
        <w:rPr>
          <w:rFonts w:ascii="Times New Roman" w:hAnsi="Times New Roman" w:cs="Times New Roman"/>
          <w:b/>
          <w:sz w:val="24"/>
          <w:color w:val="000000"/>
        </w:rPr>
        <w:t>Significance</w:t>
      </w:r>
    </w:p>
    <w:p>
      <w:pPr>
        <w:spacing w:line="480" w:lineRule="auto"/>
      </w:pPr>
      <w:r>
        <w:t>The significance of this effort is threefold. First, the ACSO will establish a standardized set of career data definitions and relationships, reducing duplication of effort across ARI research projects and ensuring consistency in variable operationalization. Second, the ontology will serve as the foundation for future career databases developed by ARI, providing a machine-readable schema that can be directly implemented in database architectures on the Army Vantage platform (Palantir Foundry). Third, the ACSO will support interoperability among related ARI efforts, including the Occupational Task Taxonomy (OTT) Data Collection project, the Career Planning Profiler, and the longitudinal career database initiative, by providing a shared vocabulary for career-related concepts that can be referenced and extended by sibling projects.</w:t>
      </w:r>
    </w:p>
    <w:p>
      <w:pPr>
        <w:pStyle w:val="Heading1"/>
        <w:jc w:val="center"/>
      </w:pPr>
      <w:r>
        <w:rPr>
          <w:rFonts w:ascii="Times New Roman" w:hAnsi="Times New Roman" w:cs="Times New Roman"/>
          <w:b/>
          <w:sz w:val="24"/>
          <w:color w:val="000000"/>
        </w:rPr>
        <w:t>Research Objectives</w:t>
      </w:r>
    </w:p>
    <w:p>
      <w:pPr>
        <w:spacing w:line="480" w:lineRule="auto"/>
      </w:pPr>
      <w:r>
        <w:t>This research effort is organized around five research objectives (ROs), each mapped to the research questions in Section 3 and to the project phase in which it is principally accomplished. Together the objectives trace the arc from variable identification through formal ontology construction to extension and transition.</w:t>
      </w:r>
    </w:p>
    <w:p>
      <w:pPr>
        <w:spacing w:line="480" w:lineRule="auto"/>
      </w:pPr>
      <w:r>
        <w:rPr>
          <w:b/>
        </w:rPr>
        <w:t xml:space="preserve">RO1: </w:t>
      </w:r>
      <w:r>
        <w:t>Identify and define the core set of career state variables that characterize an Army officer's career across the career lifecycle, combining top-down derivation from career development theory with bottom-up extraction from available Army human resources data sources (Phase 1, FY27; supports RQ1).</w:t>
      </w:r>
    </w:p>
    <w:p>
      <w:pPr>
        <w:spacing w:line="480" w:lineRule="auto"/>
      </w:pPr>
      <w:r>
        <w:rPr>
          <w:b/>
        </w:rPr>
        <w:t xml:space="preserve">RO2: </w:t>
      </w:r>
      <w:r>
        <w:t>Map each core career state variable to its authoritative source database(s), documenting data format, access procedures, aggregation requirements, and any transformation needed to conform to the ontology's formal definitions, and maintain the mapping as a living document (Phases 1-2, FY27-FY28; supports RQ2).</w:t>
      </w:r>
    </w:p>
    <w:p>
      <w:pPr>
        <w:spacing w:line="480" w:lineRule="auto"/>
      </w:pPr>
      <w:r>
        <w:rPr>
          <w:b/>
        </w:rPr>
        <w:t xml:space="preserve">RO3: </w:t>
      </w:r>
      <w:r>
        <w:t>Construct and formalize an OWL 2 DL-compliant ontology that specifies the classes, properties, relationships, and constraints structuring career state data, and validate the ontology through automated reasoning and competency question testing (Phase 2, FY28; supports RQ3).</w:t>
      </w:r>
    </w:p>
    <w:p>
      <w:pPr>
        <w:spacing w:line="480" w:lineRule="auto"/>
      </w:pPr>
      <w:r>
        <w:rPr>
          <w:b/>
        </w:rPr>
        <w:t xml:space="preserve">RO4: </w:t>
      </w:r>
      <w:r>
        <w:t>Verify interoperability between the ontology and related ARI efforts - the Occupational Task Taxonomy, the Career Planning Profiler, the longitudinal career database initiative, and the unit context ontology - through documented cross-referencing and query testing (continuous, FY27-FY29; supports RQ4).</w:t>
      </w:r>
    </w:p>
    <w:p>
      <w:pPr>
        <w:spacing w:line="480" w:lineRule="auto"/>
      </w:pPr>
      <w:r>
        <w:rPr>
          <w:b/>
        </w:rPr>
        <w:t xml:space="preserve">RO5: </w:t>
      </w:r>
      <w:r>
        <w:t>Extend the ontology beyond the core variable set to support emerging career pattern analysis and advanced modeling requirements, and assemble the transition package for HRC-RD at Technology Readiness Level 4 (Phase 3, FY29; supports RQ5).</w:t>
      </w:r>
    </w:p>
    <w:p>
      <w:pPr>
        <w:pStyle w:val="Heading1"/>
        <w:jc w:val="center"/>
      </w:pPr>
      <w:r>
        <w:rPr>
          <w:rFonts w:ascii="Times New Roman" w:hAnsi="Times New Roman" w:cs="Times New Roman"/>
          <w:b/>
          <w:sz w:val="24"/>
          <w:color w:val="000000"/>
        </w:rPr>
        <w:t>Research Questions</w:t>
      </w:r>
    </w:p>
    <w:p>
      <w:pPr>
        <w:spacing w:line="480" w:lineRule="auto"/>
      </w:pPr>
      <w:r>
        <w:t>This research effort is guided by the following research questions, grouped by the study phase in which they will be addressed:</w:t>
      </w:r>
    </w:p>
    <w:p>
      <w:pPr>
        <w:pStyle w:val="ListNumber"/>
        <w:spacing w:line="480" w:lineRule="auto"/>
      </w:pPr>
      <w:r>
        <w:t>RQ1: What core variables define an Army officer's career state across the career lifecycle?</w:t>
      </w:r>
    </w:p>
    <w:p>
      <w:pPr>
        <w:pStyle w:val="ListNumber"/>
        <w:spacing w:line="480" w:lineRule="auto"/>
      </w:pPr>
      <w:r>
        <w:t>RQ2: Where are these career state variables stored across Army HR data systems (e.g., ADP/PDE, ORB, IPPS-A), and what are their formats, access procedures, and aggregation requirements?</w:t>
      </w:r>
    </w:p>
    <w:p>
      <w:pPr>
        <w:pStyle w:val="ListNumber"/>
        <w:spacing w:line="480" w:lineRule="auto"/>
      </w:pPr>
      <w:r>
        <w:t>RQ3: How can these variables and their relationships be formally represented in an OWL-compliant ontology that supports automated reasoning and data integration?</w:t>
      </w:r>
    </w:p>
    <w:p>
      <w:pPr>
        <w:pStyle w:val="ListNumber"/>
        <w:spacing w:line="480" w:lineRule="auto"/>
      </w:pPr>
      <w:r>
        <w:t>RQ4: To what extent does the ACSO support interoperability with related ARI efforts, including the Occupational Task Taxonomy (OTT), the Career Planning Profiler, and the longitudinal career database initiative?</w:t>
      </w:r>
    </w:p>
    <w:p>
      <w:pPr>
        <w:pStyle w:val="ListNumber"/>
        <w:spacing w:line="480" w:lineRule="auto"/>
      </w:pPr>
      <w:r>
        <w:t>RQ5: What additional data elements beyond the core set are needed to support future career pattern analysis and advanced modeling?</w:t>
      </w:r>
    </w:p>
    <w:p>
      <w:pPr>
        <w:spacing w:line="480" w:lineRule="auto"/>
      </w:pPr>
    </w:p>
    <w:p>
      <w:pPr>
        <w:spacing w:line="480" w:lineRule="auto"/>
      </w:pPr>
      <w:r>
        <w:t>RQ1 and RQ2 are addressed primarily in FY27 through literature review and data source investigation. RQ3 is addressed in FY28 through ontology construction and formalization. RQ4 is addressed throughout the project through ongoing coordination with sibling efforts. RQ5 is addressed in FY29 through ontology extension activities.</w:t>
      </w:r>
    </w:p>
    <w:p>
      <w:pPr>
        <w:spacing w:before="240" w:after="0" w:line="480" w:lineRule="auto"/>
      </w:pPr>
      <w:r>
        <w:rPr>
          <w:rFonts w:ascii="Times New Roman" w:hAnsi="Times New Roman"/>
          <w:b/>
          <w:i w:val="0"/>
          <w:sz w:val="24"/>
        </w:rPr>
        <w:t>Table 1</w:t>
      </w:r>
    </w:p>
    <w:p>
      <w:pPr>
        <w:spacing w:before="0" w:after="80" w:line="480" w:lineRule="auto"/>
      </w:pPr>
      <w:r>
        <w:rPr>
          <w:rFonts w:ascii="Times New Roman" w:hAnsi="Times New Roman"/>
          <w:b w:val="0"/>
          <w:i/>
          <w:sz w:val="24"/>
        </w:rPr>
        <w:t>RQ-to-Phase-to-Method Mapping</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160"/>
        <w:gridCol w:w="2160"/>
        <w:gridCol w:w="2160"/>
        <w:gridCol w:w="2160"/>
      </w:tblGrid>
      <w:tr>
        <w:tc>
          <w:tcPr>
            <w:tcW w:type="dxa" w:w="2160"/>
            <w:tcBorders>
              <w:bottom w:val="single" w:sz="8" w:space="0" w:color="000000"/>
            </w:tcBorders>
          </w:tcPr>
          <w:p>
            <w:r>
              <w:rPr>
                <w:sz w:val="20"/>
              </w:rPr>
            </w:r>
            <w:r>
              <w:rPr>
                <w:b/>
                <w:sz w:val="20"/>
              </w:rPr>
              <w:t>RQ</w:t>
            </w:r>
          </w:p>
        </w:tc>
        <w:tc>
          <w:tcPr>
            <w:tcW w:type="dxa" w:w="2160"/>
            <w:tcBorders>
              <w:bottom w:val="single" w:sz="8" w:space="0" w:color="000000"/>
            </w:tcBorders>
          </w:tcPr>
          <w:p>
            <w:r>
              <w:rPr>
                <w:sz w:val="20"/>
              </w:rPr>
            </w:r>
            <w:r>
              <w:rPr>
                <w:b/>
                <w:sz w:val="20"/>
              </w:rPr>
              <w:t>Phase</w:t>
            </w:r>
          </w:p>
        </w:tc>
        <w:tc>
          <w:tcPr>
            <w:tcW w:type="dxa" w:w="2160"/>
            <w:tcBorders>
              <w:bottom w:val="single" w:sz="8" w:space="0" w:color="000000"/>
            </w:tcBorders>
          </w:tcPr>
          <w:p>
            <w:r>
              <w:rPr>
                <w:sz w:val="20"/>
              </w:rPr>
            </w:r>
            <w:r>
              <w:rPr>
                <w:b/>
                <w:sz w:val="20"/>
              </w:rPr>
              <w:t>Primary Method</w:t>
            </w:r>
          </w:p>
        </w:tc>
        <w:tc>
          <w:tcPr>
            <w:tcW w:type="dxa" w:w="2160"/>
            <w:tcBorders>
              <w:bottom w:val="single" w:sz="8" w:space="0" w:color="000000"/>
            </w:tcBorders>
          </w:tcPr>
          <w:p>
            <w:r>
              <w:rPr>
                <w:sz w:val="20"/>
              </w:rPr>
            </w:r>
            <w:r>
              <w:rPr>
                <w:b/>
                <w:sz w:val="20"/>
              </w:rPr>
              <w:t>Data Sources</w:t>
            </w:r>
          </w:p>
        </w:tc>
      </w:tr>
      <w:tr>
        <w:tc>
          <w:tcPr>
            <w:tcW w:type="dxa" w:w="2160"/>
          </w:tcPr>
          <w:p>
            <w:r>
              <w:rPr>
                <w:sz w:val="20"/>
              </w:rPr>
            </w:r>
            <w:r>
              <w:rPr>
                <w:sz w:val="20"/>
              </w:rPr>
              <w:t>RQ1 (core career state variables)</w:t>
            </w:r>
          </w:p>
        </w:tc>
        <w:tc>
          <w:tcPr>
            <w:tcW w:type="dxa" w:w="2160"/>
          </w:tcPr>
          <w:p>
            <w:r>
              <w:rPr>
                <w:sz w:val="20"/>
              </w:rPr>
            </w:r>
            <w:r>
              <w:rPr>
                <w:sz w:val="20"/>
              </w:rPr>
              <w:t>FY27</w:t>
            </w:r>
          </w:p>
        </w:tc>
        <w:tc>
          <w:tcPr>
            <w:tcW w:type="dxa" w:w="2160"/>
          </w:tcPr>
          <w:p>
            <w:r>
              <w:rPr>
                <w:sz w:val="20"/>
              </w:rPr>
            </w:r>
            <w:r>
              <w:rPr>
                <w:sz w:val="20"/>
              </w:rPr>
              <w:t>Top-down derivation from career development theory; bottom-up extraction from Army HR data</w:t>
            </w:r>
          </w:p>
        </w:tc>
        <w:tc>
          <w:tcPr>
            <w:tcW w:type="dxa" w:w="2160"/>
          </w:tcPr>
          <w:p>
            <w:r>
              <w:rPr>
                <w:sz w:val="20"/>
              </w:rPr>
            </w:r>
            <w:r>
              <w:rPr>
                <w:sz w:val="20"/>
              </w:rPr>
              <w:t>Career development literature; ADP, ORB, IPPS-A schemas</w:t>
            </w:r>
          </w:p>
        </w:tc>
      </w:tr>
      <w:tr>
        <w:tc>
          <w:tcPr>
            <w:tcW w:type="dxa" w:w="2160"/>
          </w:tcPr>
          <w:p>
            <w:r>
              <w:rPr>
                <w:sz w:val="20"/>
              </w:rPr>
            </w:r>
            <w:r>
              <w:rPr>
                <w:sz w:val="20"/>
              </w:rPr>
              <w:t>RQ2 (variable locations and access)</w:t>
            </w:r>
          </w:p>
        </w:tc>
        <w:tc>
          <w:tcPr>
            <w:tcW w:type="dxa" w:w="2160"/>
          </w:tcPr>
          <w:p>
            <w:r>
              <w:rPr>
                <w:sz w:val="20"/>
              </w:rPr>
            </w:r>
            <w:r>
              <w:rPr>
                <w:sz w:val="20"/>
              </w:rPr>
              <w:t>FY27</w:t>
            </w:r>
          </w:p>
        </w:tc>
        <w:tc>
          <w:tcPr>
            <w:tcW w:type="dxa" w:w="2160"/>
          </w:tcPr>
          <w:p>
            <w:r>
              <w:rPr>
                <w:sz w:val="20"/>
              </w:rPr>
            </w:r>
            <w:r>
              <w:rPr>
                <w:sz w:val="20"/>
              </w:rPr>
              <w:t>Data source investigation; schema and access-procedure documentation</w:t>
            </w:r>
          </w:p>
        </w:tc>
        <w:tc>
          <w:tcPr>
            <w:tcW w:type="dxa" w:w="2160"/>
          </w:tcPr>
          <w:p>
            <w:r>
              <w:rPr>
                <w:sz w:val="20"/>
              </w:rPr>
            </w:r>
            <w:r>
              <w:rPr>
                <w:sz w:val="20"/>
              </w:rPr>
              <w:t>ADP (Vantage), ORB exports, IPPS-A (access under investigation)</w:t>
            </w:r>
          </w:p>
        </w:tc>
      </w:tr>
      <w:tr>
        <w:tc>
          <w:tcPr>
            <w:tcW w:type="dxa" w:w="2160"/>
          </w:tcPr>
          <w:p>
            <w:r>
              <w:rPr>
                <w:sz w:val="20"/>
              </w:rPr>
            </w:r>
            <w:r>
              <w:rPr>
                <w:sz w:val="20"/>
              </w:rPr>
              <w:t>RQ3 (formal OWL representation)</w:t>
            </w:r>
          </w:p>
        </w:tc>
        <w:tc>
          <w:tcPr>
            <w:tcW w:type="dxa" w:w="2160"/>
          </w:tcPr>
          <w:p>
            <w:r>
              <w:rPr>
                <w:sz w:val="20"/>
              </w:rPr>
            </w:r>
            <w:r>
              <w:rPr>
                <w:sz w:val="20"/>
              </w:rPr>
              <w:t>FY28</w:t>
            </w:r>
          </w:p>
        </w:tc>
        <w:tc>
          <w:tcPr>
            <w:tcW w:type="dxa" w:w="2160"/>
          </w:tcPr>
          <w:p>
            <w:r>
              <w:rPr>
                <w:sz w:val="20"/>
              </w:rPr>
            </w:r>
            <w:r>
              <w:rPr>
                <w:sz w:val="20"/>
              </w:rPr>
              <w:t>OWL 2 DL ontology construction in Protégé; reasoner validation (Pellet, HermiT)</w:t>
            </w:r>
          </w:p>
        </w:tc>
        <w:tc>
          <w:tcPr>
            <w:tcW w:type="dxa" w:w="2160"/>
          </w:tcPr>
          <w:p>
            <w:r>
              <w:rPr>
                <w:sz w:val="20"/>
              </w:rPr>
            </w:r>
            <w:r>
              <w:rPr>
                <w:sz w:val="20"/>
              </w:rPr>
              <w:t>Variable inventory; data source mapping document</w:t>
            </w:r>
          </w:p>
        </w:tc>
      </w:tr>
      <w:tr>
        <w:tc>
          <w:tcPr>
            <w:tcW w:type="dxa" w:w="2160"/>
          </w:tcPr>
          <w:p>
            <w:r>
              <w:rPr>
                <w:sz w:val="20"/>
              </w:rPr>
            </w:r>
            <w:r>
              <w:rPr>
                <w:sz w:val="20"/>
              </w:rPr>
              <w:t>RQ4 (interoperability with sibling efforts)</w:t>
            </w:r>
          </w:p>
        </w:tc>
        <w:tc>
          <w:tcPr>
            <w:tcW w:type="dxa" w:w="2160"/>
          </w:tcPr>
          <w:p>
            <w:r>
              <w:rPr>
                <w:sz w:val="20"/>
              </w:rPr>
            </w:r>
            <w:r>
              <w:rPr>
                <w:sz w:val="20"/>
              </w:rPr>
              <w:t>FY27-FY29</w:t>
            </w:r>
          </w:p>
        </w:tc>
        <w:tc>
          <w:tcPr>
            <w:tcW w:type="dxa" w:w="2160"/>
          </w:tcPr>
          <w:p>
            <w:r>
              <w:rPr>
                <w:sz w:val="20"/>
              </w:rPr>
            </w:r>
            <w:r>
              <w:rPr>
                <w:sz w:val="20"/>
              </w:rPr>
              <w:t>Cross-reference and query testing with sibling project schemas</w:t>
            </w:r>
          </w:p>
        </w:tc>
        <w:tc>
          <w:tcPr>
            <w:tcW w:type="dxa" w:w="2160"/>
          </w:tcPr>
          <w:p>
            <w:r>
              <w:rPr>
                <w:sz w:val="20"/>
              </w:rPr>
            </w:r>
            <w:r>
              <w:rPr>
                <w:sz w:val="20"/>
              </w:rPr>
              <w:t>OTT taxonomy; Profiler requirements; longitudinal database schema; unit context ontology</w:t>
            </w:r>
          </w:p>
        </w:tc>
      </w:tr>
      <w:tr>
        <w:tc>
          <w:tcPr>
            <w:tcW w:type="dxa" w:w="2160"/>
          </w:tcPr>
          <w:p>
            <w:r>
              <w:rPr>
                <w:sz w:val="20"/>
              </w:rPr>
            </w:r>
            <w:r>
              <w:rPr>
                <w:sz w:val="20"/>
              </w:rPr>
              <w:t>RQ5 (extension variables)</w:t>
            </w:r>
          </w:p>
        </w:tc>
        <w:tc>
          <w:tcPr>
            <w:tcW w:type="dxa" w:w="2160"/>
          </w:tcPr>
          <w:p>
            <w:r>
              <w:rPr>
                <w:sz w:val="20"/>
              </w:rPr>
            </w:r>
            <w:r>
              <w:rPr>
                <w:sz w:val="20"/>
              </w:rPr>
              <w:t>FY29</w:t>
            </w:r>
          </w:p>
        </w:tc>
        <w:tc>
          <w:tcPr>
            <w:tcW w:type="dxa" w:w="2160"/>
          </w:tcPr>
          <w:p>
            <w:r>
              <w:rPr>
                <w:sz w:val="20"/>
              </w:rPr>
            </w:r>
            <w:r>
              <w:rPr>
                <w:sz w:val="20"/>
              </w:rPr>
              <w:t>Coverage assessment against prior ARI career studies and Schroeder guidebook methods</w:t>
            </w:r>
          </w:p>
        </w:tc>
        <w:tc>
          <w:tcPr>
            <w:tcW w:type="dxa" w:w="2160"/>
          </w:tcPr>
          <w:p>
            <w:r>
              <w:rPr>
                <w:sz w:val="20"/>
              </w:rPr>
            </w:r>
            <w:r>
              <w:rPr>
                <w:sz w:val="20"/>
              </w:rPr>
              <w:t>Schroeder (2024) guidebook; sibling project requirements</w:t>
            </w:r>
          </w:p>
        </w:tc>
      </w:tr>
    </w:tbl>
    <w:p>
      <w:pPr>
        <w:spacing w:before="40" w:after="240" w:line="480" w:lineRule="auto"/>
        <w:jc w:val="left"/>
      </w:pPr>
      <w:r>
        <w:rPr>
          <w:rFonts w:ascii="Times New Roman" w:hAnsi="Times New Roman"/>
          <w:i/>
          <w:sz w:val="20"/>
        </w:rPr>
        <w:t>Note.</w:t>
      </w:r>
      <w:r>
        <w:rPr>
          <w:rFonts w:ascii="Times New Roman" w:hAnsi="Times New Roman"/>
          <w:i w:val="0"/>
          <w:sz w:val="20"/>
        </w:rPr>
        <w:t xml:space="preserve"> RQ = research question; ADP = Army Data Platform; ORB = Officer Record Brief; IPPS-A = Integrated Personnel and Pay System–Army; CGSC = Command and General Staff College; DL = description logic; OWL = Web Ontology Language.</w:t>
      </w:r>
    </w:p>
    <w:p>
      <w:pPr>
        <w:pStyle w:val="Heading1"/>
        <w:jc w:val="center"/>
      </w:pPr>
      <w:r>
        <w:rPr>
          <w:rFonts w:ascii="Times New Roman" w:hAnsi="Times New Roman" w:cs="Times New Roman"/>
          <w:b/>
          <w:sz w:val="24"/>
          <w:color w:val="000000"/>
        </w:rPr>
        <w:t>Background and Literature Review</w:t>
      </w:r>
    </w:p>
    <w:p>
      <w:pPr>
        <w:pStyle w:val="Heading2"/>
        <w:jc w:val="left"/>
      </w:pPr>
      <w:r>
        <w:rPr>
          <w:rFonts w:ascii="Times New Roman" w:hAnsi="Times New Roman" w:cs="Times New Roman"/>
          <w:b/>
          <w:sz w:val="24"/>
          <w:color w:val="000000"/>
        </w:rPr>
        <w:t>Ontology Engineering and Knowledge Organization Systems</w:t>
      </w:r>
    </w:p>
    <w:p>
      <w:pPr>
        <w:spacing w:line="480" w:lineRule="auto"/>
      </w:pPr>
      <w:r>
        <w:t>Knowledge organization systems (KOS) encompass a spectrum of structured vocabularies used to organize and retrieve information, ranging from simple term lists and controlled vocabularies through taxonomies and thesauri to full ontologies (Hedden, 2010). The distinctions among these KOS types are consequential for system design: a taxonomy provides hierarchical classification, a thesaurus adds associative and equivalence relationships governed by standards such as ISO 25964 and ANSI/NISO Z39.19, and an ontology adds formal class hierarchies, custom semantic relationships, attributes, and constraints that enable machine reasoning (Hedden, 2010; Uschold &amp; Grüninger, 1996).</w:t>
      </w:r>
    </w:p>
    <w:p>
      <w:pPr>
        <w:spacing w:line="480" w:lineRule="auto"/>
      </w:pPr>
      <w:r>
        <w:t>Hedden (2010) noted that the boundary between a semantically enriched taxonomy and a full ontology can be blurred—adding custom relationships and attributes to a taxonomy can yield what she termed "ontology-like" or "ontology lite" systems, particularly when the result does not conform to formal ontology standards such as OWL. This distinction is important for the ACSO project because it clarifies the design choice: the project aims for full OWL compliance rather than an intermediate "ontology lite" approach, in order to maximize interoperability, support automated reasoning, and align with established semantic web standards. However, the iterative development methodology (see §5.1) acknowledges that the ontology may pass through an intermediate stage of semantically enriched controlled vocabulary before full axiomatization.</w:t>
      </w:r>
    </w:p>
    <w:p>
      <w:pPr>
        <w:spacing w:line="480" w:lineRule="auto"/>
      </w:pPr>
      <w:r>
        <w:t>The Semantic Web stack also provides a standardized intermediate form between taxonomy and full ontology. The Simple Knowledge Organization System (SKOS; W3C, 2009) formalizes thesauri, classification schemes, and other structured vocabularies in RDF, yielding machine-readable concept schemes without the axiomatic commitments of OWL. SKOS is relevant to the ACSO development path because the semantically enriched controlled vocabularies constructed during early iterations can be encoded in SKOS-compatible form, preserving machine readability and interoperability while the full OWL 2 axiomatization is elaborated (Hedden, 2010; W3C, 2009).</w:t>
      </w:r>
    </w:p>
    <w:p>
      <w:pPr>
        <w:spacing w:line="480" w:lineRule="auto"/>
      </w:pPr>
      <w:r>
        <w:t>The philosophical roots of ontology as a discipline trace to metaphysics—the study of being and existence—but its application in information science emerged from the need to share common understanding of domain knowledge among humans and machines (Gruber, 1993; Guarino, 1998). Gruber (1993) defined ontology as an explicit specification of a conceptualization, a definition that became foundational for the knowledge engineering community. Guarino (1998) refined this definition by distinguishing the conceptualization (an abstract view of the world) from the ontology (a specific artifact that describes it), arguing that ontologies should be evaluated by their fidelity to the intended conceptualization and their adequacy for the intended application.</w:t>
      </w:r>
    </w:p>
    <w:p>
      <w:pPr>
        <w:pStyle w:val="Heading2"/>
        <w:jc w:val="left"/>
      </w:pPr>
      <w:r>
        <w:rPr>
          <w:rFonts w:ascii="Times New Roman" w:hAnsi="Times New Roman" w:cs="Times New Roman"/>
          <w:b/>
          <w:sz w:val="24"/>
          <w:color w:val="000000"/>
        </w:rPr>
        <w:t>Ontology Development Methodologies</w:t>
      </w:r>
    </w:p>
    <w:p>
      <w:pPr>
        <w:spacing w:line="480" w:lineRule="auto"/>
      </w:pPr>
      <w:r>
        <w:t>Several methodologies for ontology development have been proposed in the knowledge engineering literature. Uschold and Grüninger (1996) proposed one of the earliest systematic methodologies, emphasizing (a) identifying the purpose and scope of the ontology, (b) building the ontology through capture, coding, and integration of existing ontologies, (c) evaluating the ontology against competency questions, and (d) documenting the ontology for reuse. Their methodology has been widely adopted and forms the basis of many subsequent approaches.</w:t>
      </w:r>
    </w:p>
    <w:p>
      <w:pPr>
        <w:spacing w:line="480" w:lineRule="auto"/>
      </w:pPr>
      <w:r>
        <w:t>Noy and McGuinness (2001) articulated a practical, iterative methodology for ontology development at Stanford University, emphasizing seven steps: (a) determine the domain and scope, (b) consider reuse of existing ontologies, (c) enumerate important terms, (d) define classes and the class hierarchy, (e) define the properties of classes, (f) define the facets of properties, and (g) create instances. A key feature of their methodology is the use of competency questions—specific questions that the ontology should be able to answer—as a validation mechanism throughout the development process. This approach directly informs the ACSO validation strategy described in §8.1.</w:t>
      </w:r>
    </w:p>
    <w:p>
      <w:pPr>
        <w:spacing w:line="480" w:lineRule="auto"/>
      </w:pPr>
      <w:r>
        <w:t>The Grüninger and Fox (1995) methodology, developed in the context of the Toronto Virtual Enterprise (TOVE) project, similarly emphasized competency questions and proposed a formal evaluation process based on the ontology's ability to deduce answers to such questions using automated reasoning. Gómez-Pérez et al. (2004) provided a comprehensive survey of ontology evaluation methods, distinguishing syntax, structure, semantics, and pragmatics as evaluation dimensions. These methodologies collectively inform the ACSO development approach described in §5.1, which adopts an iterative, competency-question-driven process adapted from Noy and McGuinness (2001) and Grüninger and Fox (1995).</w:t>
      </w:r>
    </w:p>
    <w:p>
      <w:pPr>
        <w:pStyle w:val="Heading2"/>
        <w:jc w:val="left"/>
      </w:pPr>
      <w:r>
        <w:rPr>
          <w:rFonts w:ascii="Times New Roman" w:hAnsi="Times New Roman" w:cs="Times New Roman"/>
          <w:b/>
          <w:sz w:val="24"/>
          <w:color w:val="000000"/>
        </w:rPr>
        <w:t>Formal Ontology and the Semantic Web</w:t>
      </w:r>
    </w:p>
    <w:p>
      <w:pPr>
        <w:spacing w:line="480" w:lineRule="auto"/>
      </w:pPr>
      <w:r>
        <w:t>The Web Ontology Language (OWL) was developed by the World Wide Web Consortium (W3C, 2004) as a standard for representing ontologies on the Semantic Web, building on the Resource Description Framework (RDF) and RDF Schema (RDFS) to provide additional vocabulary for describing classes, properties, and individuals with well-defined semantics. OWL is grounded in description logics—a family of knowledge representation formalisms that provide decidable reasoning services including consistency checking, classification, and implicit inference (Baader et al., 2003). The choice of OWL as the representation standard for the ACSO project reflects the need for formal semantics, machine reasoning, and interoperability with other semantic web artifacts.</w:t>
      </w:r>
    </w:p>
    <w:p>
      <w:pPr>
        <w:spacing w:line="480" w:lineRule="auto"/>
      </w:pPr>
      <w:r>
        <w:t>Horrocks et al. (2003) described the design and application of OWL, arguing that description logics provide the formal underpinning necessary for automated reasoning over ontological knowledge. They demonstrated that OWL's expressive power—supporting cardinality constraints, transitive properties, inverse properties, and class equivalence—enables sophisticated inferences that are impossible with simpler schema languages such as XML or RDF alone. For the ACSO project, this expressive power is essential for representing complex career state relationships, such as the temporal ordering of career events (e.g., promotion must follow commissioning), the dependency of assignments on rank and branch, and the aggregation of education and training events into career milestones.</w:t>
      </w:r>
    </w:p>
    <w:p>
      <w:pPr>
        <w:spacing w:line="480" w:lineRule="auto"/>
      </w:pPr>
      <w:r>
        <w:t>OWL exists in three variants of increasing expressiveness: OWL Lite, OWL DL (Description Logics), and OWL Full (W3C, 2004). OWL DL, which corresponds to the SHOIN(D) description logic, offers a balance between expressiveness and computational tractability and is the most widely adopted variant for domain ontology development (Horrocks et al., 2003). The ACSO project will build on this foundation by targeting OWL 2 DL compliance, the current edition of the standard, ensuring that the ontology can be processed by standard description logic reasoners such as Pellet (Sirin et al., 2007) and HermiT (Glimm et al., 2014) for consistency checking and classification.</w:t>
      </w:r>
    </w:p>
    <w:p>
      <w:pPr>
        <w:spacing w:line="480" w:lineRule="auto"/>
      </w:pPr>
      <w:r>
        <w:t>OWL 2 (W3C, 2012), published in 2009 with a second edition in 2012, extends the original language with refined expressiveness, richer datatypes - including improved representations of date and time values that matter for temporal career data such as time in grade and PME completion dates - and three tractable profiles (EL, RL, and QL) that guarantee polynomial-time reasoning for ontologies that remain within profile constraints. The profiles have direct practical consequence for the ACSO: as instance data scale toward full-population career histories, complete OWL 2 DL reasoning may become computationally expensive, and the profiles provide a principled fallback that preserves automated classification at reduced expressive power. Standard reasoners including HermiT (Glimm et al., 2014) and Pellet (Sirin et al., 2007) implement OWL 2 semantics, and the Protégé ontology editor supports native profile checking. The ACSO will therefore maintain OWL 2 DL compliance while monitoring profile conformance throughout development, so that a tractable subset remains available if scale demands it.</w:t>
      </w:r>
    </w:p>
    <w:p>
      <w:pPr>
        <w:pStyle w:val="Heading2"/>
        <w:jc w:val="left"/>
      </w:pPr>
      <w:r>
        <w:rPr>
          <w:rFonts w:ascii="Times New Roman" w:hAnsi="Times New Roman" w:cs="Times New Roman"/>
          <w:b/>
          <w:sz w:val="24"/>
          <w:color w:val="000000"/>
        </w:rPr>
        <w:t>Ontologies in Personnel and HR Domains</w:t>
      </w:r>
    </w:p>
    <w:p>
      <w:pPr>
        <w:spacing w:line="480" w:lineRule="auto"/>
      </w:pPr>
      <w:r>
        <w:t>The application of ontology engineering to personnel and human resources domains has received growing attention as organizations seek to integrate disparate HR data systems and enable semantic interoperability. Bizer et al. (2009) described the Semantic Web Client Library approach for integrating distributed HR data using RDF and OWL, demonstrating that ontology-based access layers can unify heterogeneous personnel databases without requiring physical data migration. The HR-XML Consortium (2010) developed XML-based standards for exchanging HR data, including specifications for competencies, job postings, and candidate profiles—though these standards focus on data exchange syntax rather than formal semantics.</w:t>
      </w:r>
    </w:p>
    <w:p>
      <w:pPr>
        <w:spacing w:line="480" w:lineRule="auto"/>
      </w:pPr>
      <w:r>
        <w:t>In the U.S. military context, the O*NET program (National Center for O*NET Development, 2020) maintains a comprehensive taxonomy of occupational characteristics, including worker requirements, experience requirements, occupational requirements, and workforce characteristics. While O*NET provides a rich taxonomic structure, it is not a formal ontology—it lacks the machine-readable semantic relationships, class axioms, and reasoning capabilities that OWL provides. The Army Talent Attribute Framework (ATAF; Royston et al., 2022) similarly provides a taxonomy of 194 knowledge, skills, and abilities (KSBs) across 7 domains, but has not been formalized as an OWL ontology. The ACSO project will complement these existing taxonomies by providing the formal ontological layer that links career state variables to their data sources and to related taxonomic efforts.</w:t>
      </w:r>
    </w:p>
    <w:p>
      <w:pPr>
        <w:spacing w:line="480" w:lineRule="auto"/>
      </w:pPr>
      <w:r>
        <w:t>García-Sánchez et al. (2009) developed an ontology for human resource management that formalized concepts such as employee, position, contract, and competency, demonstrating the feasibility of OWL-based representation for HR domains. Their work highlighted the importance of aligning domain ontologies with upper-level ontologies (e.g., DOLCE; Gangemi et al., 2002) to ensure semantic coherence and interoperability. The ACSO project will consider alignment with upper-level ontologies during the formalization phase (FY28), though the initial focus will be on domain-specific career state concepts.</w:t>
      </w:r>
    </w:p>
    <w:p>
      <w:pPr>
        <w:pStyle w:val="Heading2"/>
        <w:jc w:val="left"/>
      </w:pPr>
      <w:r>
        <w:rPr>
          <w:rFonts w:ascii="Times New Roman" w:hAnsi="Times New Roman" w:cs="Times New Roman"/>
          <w:b/>
          <w:sz w:val="24"/>
          <w:color w:val="000000"/>
        </w:rPr>
        <w:t>Career Development Theory and Career States</w:t>
      </w:r>
    </w:p>
    <w:p>
      <w:pPr>
        <w:spacing w:line="480" w:lineRule="auto"/>
      </w:pPr>
      <w:r>
        <w:t>The concept of a career state—the configuration of variables that describe an individual's status, role, and trajectory at a given point in their career—is grounded in career development theory. Super (1980) proposed a life-span, life-space model of career development, describing career progression through five stages: growth, exploration, establishment, maintenance, and disengagement. Each stage is characterized by distinct developmental tasks, roles, and self-concepts. While Super's model was developed for civilian careers, its emphasis on stages and transitions provides a useful framework for conceptualizing Army officer career states, which similarly progress through structured phases (e.g., pre-commissioning, early career, mid-career, senior career) with distinct developmental requirements.</w:t>
      </w:r>
    </w:p>
    <w:p>
      <w:pPr>
        <w:spacing w:line="480" w:lineRule="auto"/>
      </w:pPr>
      <w:r>
        <w:t>Schein (1996) introduced the concept of career anchors—self-perceived talents, motives, and values that guide career decisions and remain stable over time. Schein identified eight anchor types (technical/functional competence, general managerial competence, security/stability, entrepreneurial creativity, autonomy/independence, pure challenge, dedication to a cause, and lifestyle), arguing that understanding an individual's career anchor is essential for predicting career satisfaction and trajectory. In the Army context, career anchors may manifest in preferences for operational assignments versus utilization tours, branch loyalty versus willingness to rebranch, and preferences for command versus staff roles—variables that the ACSO will formalize as career state attributes.</w:t>
      </w:r>
    </w:p>
    <w:p>
      <w:pPr>
        <w:spacing w:line="480" w:lineRule="auto"/>
      </w:pPr>
      <w:r>
        <w:t>In the Army officer context, career progression follows a structured model defined by regulations and doctrine (Department of the Army, 2024), with branch assignments, professional military education (PME) timing, operational versus broadening assignment balance, and promotion timing serving as key determinants of career trajectories. The tension between the Army's structured career progression model and individual officers' career preferences—rooted in the career anchor concept described by Schein (1996)—is precisely the kind of dynamic that the ACSO's formal representation of career state variables can help researchers analyze systematically. By formalizing career state variables such as assignment type, PME completion status, and branch history in a machine-readable ontology, researchers gain the ability to query, aggregate, and model career patterns at scale, enabling analyses that are currently impractical with ad-hoc data assembly.</w:t>
      </w:r>
    </w:p>
    <w:p>
      <w:pPr>
        <w:spacing w:line="480" w:lineRule="auto"/>
      </w:pPr>
      <w:r>
        <w:t>Contemporary career theory further motivates a dynamic, multidimensional representation of career states. Hall (2004) described the protean career as self-directed and values-driven rather than organizationally determined, a construct of rising relevance as Army talent management initiatives shift assignment processes toward officer-driven mechanisms. Savickas (2005) proposed career construction theory, in which individuals actively impose meaning on career transitions, emphasizing the interpretive sequence of career events over static outcomes. Both perspectives support an ontological design decision central to the ACSO: career states must be represented as temporally indexed configurations of multiple concurrent variables - assignment, rank, education and training, deployment history, branch - rather than as single progression measures, so that longitudinal patterns and transitions remain analytically recoverable.</w:t>
      </w:r>
    </w:p>
    <w:p>
      <w:pPr>
        <w:pStyle w:val="Heading2"/>
        <w:jc w:val="left"/>
      </w:pPr>
      <w:r>
        <w:rPr>
          <w:rFonts w:ascii="Times New Roman" w:hAnsi="Times New Roman" w:cs="Times New Roman"/>
          <w:b/>
          <w:sz w:val="24"/>
          <w:color w:val="000000"/>
        </w:rPr>
        <w:t>Army Human Resources Data Systems</w:t>
      </w:r>
    </w:p>
    <w:p>
      <w:pPr>
        <w:spacing w:line="480" w:lineRule="auto"/>
      </w:pPr>
      <w:r>
        <w:t>The Army's HR data landscape is characterized by multiple, often siloed systems that store career-relevant data in different formats with different access protocols. The Officer Record Brief (ORB) is the official personnel record for Army officers, containing assignment history, rank and promotion data, education and training records, branch information, and security clearance status. The ORB serves as a primary source for career state variables such as rank, PME completion, branch transfers, and assignment history. However, the ORB is a document-based system, not a structured database, and extracting machine-readable data from it requires parsing and transformation.</w:t>
      </w:r>
    </w:p>
    <w:p>
      <w:pPr>
        <w:spacing w:line="480" w:lineRule="auto"/>
      </w:pPr>
      <w:r>
        <w:t>The Integrated Personnel and Pay System–Army (IPPS-A) is the Army's modernized HR system, designed to replace legacy systems and provide integrated personnel, pay, and talent management functionality. IPPS-A includes data on assignments, promotions, training, education, awards, and evaluations, and implements the Army Talent Attribute Framework (ATAF) for skills-based talent alignment (Royston et al., 2022). The accessibility of IPPS-A data for ARI research purposes is currently under investigation, as access may be subject to organizational and security constraints. The ACSO project will document IPPS-A data availability and access procedures as part of the data source mapping activity described in §5.3.</w:t>
      </w:r>
    </w:p>
    <w:p>
      <w:pPr>
        <w:spacing w:line="480" w:lineRule="auto"/>
      </w:pPr>
      <w:r>
        <w:t xml:space="preserve">The Army Data Platform (ADP; formerly the Person Data Environment [PDE]) is ARI's primary data platform for accessing Army personnel data on the Vantage (Palantir Foundry) infrastructure. ADP contains Officer Evaluation Report (OER) narratives, assignment histories, officer demographics (AOC/MOS/rank), Army Wide Job Analysis (AWJA) records, counseling records, and award narratives. ADP provides the raw data from which career state variables can be extracted and validated. The ACSO project will use ADP as the primary data source for career state variable identification and validation.</w:t>
      </w:r>
    </w:p>
    <w:p>
      <w:pPr>
        <w:spacing w:line="480" w:lineRule="auto"/>
      </w:pPr>
      <w:r>
        <w:t>Historical and legacy systems—including the Total Army Personnel Database (TAPDB), the Army Occupational Survey Program (AOSP), and the Assignment Satisfaction Key (ASK) program—contain additional career-relevant data, though their accessibility and currency vary. The fragmentation across these systems exemplifies the problem the ACSO project seeks to address: without a shared ontology that maps career state variables to their source locations, researchers must independently discover, access, and integrate data from multiple systems for each new research question.</w:t>
      </w:r>
    </w:p>
    <w:p>
      <w:pPr>
        <w:pStyle w:val="Heading2"/>
        <w:jc w:val="left"/>
      </w:pPr>
      <w:r>
        <w:rPr>
          <w:rFonts w:ascii="Times New Roman" w:hAnsi="Times New Roman" w:cs="Times New Roman"/>
          <w:b/>
          <w:sz w:val="24"/>
          <w:color w:val="000000"/>
        </w:rPr>
        <w:t>Data Integration and Interoperability</w:t>
      </w:r>
    </w:p>
    <w:p>
      <w:pPr>
        <w:spacing w:line="480" w:lineRule="auto"/>
      </w:pPr>
      <w:r>
        <w:t>Ontology-based data integration addresses the challenge of combining data from heterogeneous sources by providing a shared, formal vocabulary that maps to individual source schemas. Poggi et al. (2008) formalized the ontology-based data access (OBDA) paradigm, in which a domain ontology serves as the conceptual interface through which users query legacy data sources, with mappings translating ontological terms to source-specific queries. The OBDA paradigm has been advocated for application in domains characterized by fragmented data landscapes—healthcare, e-government, and enterprise data management—demonstrating that ontology-based access layers can unify disparate data sources without requiring physical data migration.</w:t>
      </w:r>
    </w:p>
    <w:p>
      <w:pPr>
        <w:spacing w:line="480" w:lineRule="auto"/>
      </w:pPr>
      <w:r>
        <w:t>For the ACSO project, OBDA principles inform the data source mapping methodology (§5.3) and the Vantage-hosted implementation strategy. Rather than physically consolidating all career data into a single database, the ontology will define mappings from career state variables to their source locations in ADP, ORB, IPPS-A, and other systems, enabling federated querying through a unified ontological view. This approach preserves the existing data infrastructure while providing researchers with a single, semantically consistent interface for career data access.</w:t>
      </w:r>
    </w:p>
    <w:p>
      <w:pPr>
        <w:spacing w:line="480" w:lineRule="auto"/>
      </w:pPr>
      <w:r>
        <w:t>Interoperability among ARI's related ontology and taxonomy efforts is a critical design consideration. The Occupational Task Taxonomy (OTT) Data Collection project has demonstrated a successful approach to building and maintaining a large-scale taxonomy on the Vantage platform, using embedding-based semantic mapping and iterative SME review (Slaughter &amp; Lin, 2026). The ACSO will adopt similar platform conventions and coordinate with the OTT team to ensure that career state concepts and occupational task concepts can be cross-referenced where they overlap (e.g., assignment context, position requirements). The Career Planning Profiler, which consumes career data to support counselor-facing career path recommendations, is a downstream consumer of the ACSO and will inform the ontology's competency questions (see §8.1).</w:t>
      </w:r>
    </w:p>
    <w:p>
      <w:pPr>
        <w:spacing w:line="480" w:lineRule="auto"/>
      </w:pPr>
      <w:r>
        <w:t>Beyond technical interoperability, the FAIR principles - findability, accessibility, interoperability, and reusability of research data - articulate a community standard for data infrastructure that aligns closely with the ACSO's goals (Wilkinson et al., 2016). The principles direct that data be richly described with metadata, persistently identified, retrievable through standardized protocols, and described using vocabularies that themselves follow shared norms. An ontology is in this sense a FAIR-enabling artifact: by defining a shared career state vocabulary and its mappings to source systems, the ACSO directly serves the interoperability and reusability principles for every downstream career research product. The ontology documentation will therefore carry machine-readable metadata annotations consistent with FAIR expectations, and variable definitions will be persistently identified so that datasets assembled through the ontology remain interpretable across projects (Wilkinson et al., 2016).</w:t>
      </w:r>
    </w:p>
    <w:p>
      <w:pPr>
        <w:pStyle w:val="Heading2"/>
        <w:jc w:val="left"/>
      </w:pPr>
      <w:r>
        <w:rPr>
          <w:rFonts w:ascii="Times New Roman" w:hAnsi="Times New Roman" w:cs="Times New Roman"/>
          <w:b/>
          <w:sz w:val="24"/>
          <w:color w:val="000000"/>
        </w:rPr>
        <w:t>Prior ARI Investments and Foundational Work</w:t>
      </w:r>
    </w:p>
    <w:p>
      <w:pPr>
        <w:spacing w:line="480" w:lineRule="auto"/>
      </w:pPr>
      <w:r>
        <w:t>The ACSO project builds upon a foundation of prior and concurrent ARI investments in career data and taxonomy infrastructure. The Army Talent Attribute Framework (ATAF; Royston et al., 2022; Royston &amp; Glerum, 2023) established a standardized taxonomy of 194 knowledge, skills, and abilities (KSBs) across 7 domains, implemented in IPPS-A and the AIM2 system. The ATAF demonstrated the feasibility and value of ARI-led taxonomy development and provided a model for how the ACSO might be structured, governed, and transitioned to operational use.</w:t>
      </w:r>
    </w:p>
    <w:p>
      <w:pPr>
        <w:spacing w:line="480" w:lineRule="auto"/>
      </w:pPr>
      <w:r>
        <w:t>The Occupational Task Taxonomy (OTT) Data Collection project (Slaughter &amp; Lin, 2026) further advanced ARI's taxonomy capabilities by developing a pipeline that extracts atomic statements from OER narratives, maps them to occupational tasks using embedding-based semantic matching, and maintains the taxonomy through a structured SME review process. The OTT project's methodology for embedding-based semantic mapping (using text-embedding-3-large and FAISS), SME-driven validation, and Vantage-hosted deployment provides a proven technical approach that the ACSO project can adapt for career state variable identification and mapping.</w:t>
      </w:r>
    </w:p>
    <w:p>
      <w:pPr>
        <w:spacing w:line="480" w:lineRule="auto"/>
      </w:pPr>
      <w:r>
        <w:t>The Career Planning Profiler (RP 1123; Slaughter et al., 2026) is a counselor-facing tool for Active Duty officers that generates career path recommendations using a directed acyclic graph (DAG) representation of career trajectories. The Profiler is a downstream consumer of the ACSO: it requires standardized career state definitions to represent nodes in the career DAG and to query career data for path generation. The Schroeder Career Trajectory Analysis Guidebook (Schroeder, 2024) provided a 375-page compendium of 23 analytical methods for career trajectory analysis, several of which have been operationalized in the Career Planning Profiler POC and which inform the career state variable requirements that the ACSO must satisfy. Additionally, the KSA-FOE (Knowledge, Skills, and Abilities for the Future Operating Environment) project is examining future skill requirements, and the longitudinal career database initiative is developing a persistent database for longitudinal career analysis—both of which will benefit from the standardized career state definitions the ACSO provides.</w:t>
      </w:r>
    </w:p>
    <w:p>
      <w:pPr>
        <w:pStyle w:val="Heading2"/>
        <w:jc w:val="left"/>
      </w:pPr>
      <w:r>
        <w:rPr>
          <w:rFonts w:ascii="Times New Roman" w:hAnsi="Times New Roman" w:cs="Times New Roman"/>
          <w:b/>
          <w:sz w:val="24"/>
          <w:color w:val="000000"/>
        </w:rPr>
        <w:t>Ontology Validation and Evaluation</w:t>
      </w:r>
    </w:p>
    <w:p>
      <w:pPr>
        <w:spacing w:line="480" w:lineRule="auto"/>
      </w:pPr>
      <w:r>
        <w:t>Ontology validation is the process of determining whether an ontology is fit for its intended purpose—a challenge that the knowledge engineering community has addressed through multiple complementary approaches. Grüninger and Fox (1995) proposed competency questions as the primary validation mechanism: an ontology is evaluated by its ability to deduce answers to a set of questions that represent the intended use cases. This approach, adopted by Noy and McGuinness (2001) in their Stanford methodology, has become standard practice in ontology engineering and will be used as the primary validation mechanism for the ACSO project (see §8.1).</w:t>
      </w:r>
    </w:p>
    <w:p>
      <w:pPr>
        <w:spacing w:line="480" w:lineRule="auto"/>
      </w:pPr>
      <w:r>
        <w:t>Gómez-Pérez et al. (2004) distinguished four dimensions of ontology evaluation: (a) syntactic evaluation (does the ontology conform to the OWL syntax?), (b) structural evaluation (are the class hierarchies and properties well-formed?), (c) semantic evaluation (does the ontology correctly represent the intended domain?), and (d) pragmatic evaluation (is the ontology useful for its intended applications?). Each dimension requires different evaluation techniques, ranging from automated reasoner checks (syntactic and structural) to expert review (semantic) and user testing (pragmatic). The ACSO validation plan (§8.1) will address all four dimensions.</w:t>
      </w:r>
    </w:p>
    <w:p>
      <w:pPr>
        <w:spacing w:line="480" w:lineRule="auto"/>
      </w:pPr>
      <w:r>
        <w:t>OntoClean (Guarino &amp; Welty, 2002) is a formal methodology for evaluating the quality of ontological taxonomies based on philosophical notions such as identity, rigidity, and dependence. While OntoClean provides rigorous criteria for class hierarchy validation, its application requires significant philosophical expertise and is typically reserved for large-scale foundational ontologies. The ACSO project will use OntoClean principles as a guideline during the class hierarchy design phase (FY28) but will rely primarily on competency questions and expert review for validation, given the project's applied focus.</w:t>
      </w:r>
    </w:p>
    <w:p>
      <w:pPr>
        <w:spacing w:line="480" w:lineRule="auto"/>
      </w:pPr>
      <w:r>
        <w:t>Expert review by subject matter experts (SMEs)—including ARI researchers, HRC analysts, and personnel data specialists—will serve as the pragmatic validation mechanism. The OTT project's Gap Promotion SOP, which requires 3 SMEs per candidate task and 3/3 distinctness agreement for promotion (Slaughter &amp; Lin, 2026), provides a model for structured SME review that the ACSO project may adapt for validating career state variable definitions and relationships.</w:t>
      </w:r>
    </w:p>
    <w:p>
      <w:pPr>
        <w:pStyle w:val="Heading2"/>
        <w:jc w:val="left"/>
      </w:pPr>
      <w:r>
        <w:rPr>
          <w:rFonts w:ascii="Times New Roman" w:hAnsi="Times New Roman" w:cs="Times New Roman"/>
          <w:b/>
          <w:sz w:val="24"/>
          <w:color w:val="000000"/>
        </w:rPr>
        <w:t>Related Ontology Efforts in the Army</w:t>
      </w:r>
    </w:p>
    <w:p>
      <w:pPr>
        <w:spacing w:line="480" w:lineRule="auto"/>
      </w:pPr>
      <w:r>
        <w:t>The ACSO project is not the first ontology or taxonomy effort within the Army research community. The unit context ontology initiative, referenced in the ACSO quad chart (Slaughter et al., 2026), is developing an ontology for unit-level organizational concepts, including unit type, echelon, location, and mission. Coordination with the unit context ontology effort will ensure that the ACSO's career state concepts (e.g., assignment to a unit) can be cross-referenced with unit context concepts, enabling joint queries that span individual and organizational perspectives.</w:t>
      </w:r>
    </w:p>
    <w:p>
      <w:pPr>
        <w:spacing w:line="480" w:lineRule="auto"/>
      </w:pPr>
      <w:r>
        <w:t>The longitudinal career database initiative aims to establish a persistent, integrated database for longitudinal analysis of Army careers. The ACSO is a required precursor to this database: the ontology defines the schema (variables, relationships, constraints) that the database will implement, and the data source mappings identify where the data for each schema element can be found. The TRL 4 transition milestone (4QFY27) specifically requires the ontology to be integrated with the longitudinal database in a laboratory environment, demonstrating that the two efforts are tightly coupled.</w:t>
      </w:r>
    </w:p>
    <w:p>
      <w:pPr>
        <w:spacing w:line="480" w:lineRule="auto"/>
      </w:pPr>
      <w:r>
        <w:t xml:space="preserve">Beyond ARI, the broader Department of Defense (DoD) data strategy emphasizes the need for semantic interoperability across military data systems. The DoD Data Strategy (DoD Chief Data Officer, 2020) identified data as a strategic asset and called for the development of common data standards, ontologies, and semantic architectures to support Joint All-Domain Command and Control (JADC2). While the ACSO is scoped to Army officer career data, its OWL compliance and adherence to semantic web standards position it for potential future extension to joint and coalition contexts.</w:t>
      </w:r>
    </w:p>
    <w:p>
      <w:pPr>
        <w:pStyle w:val="Heading1"/>
        <w:jc w:val="center"/>
      </w:pPr>
      <w:r>
        <w:rPr>
          <w:rFonts w:ascii="Times New Roman" w:hAnsi="Times New Roman" w:cs="Times New Roman"/>
          <w:b/>
          <w:sz w:val="24"/>
          <w:color w:val="000000"/>
        </w:rPr>
        <w:t>Method</w:t>
      </w:r>
    </w:p>
    <w:p>
      <w:pPr>
        <w:pStyle w:val="Heading2"/>
        <w:jc w:val="left"/>
      </w:pPr>
      <w:r>
        <w:rPr>
          <w:rFonts w:ascii="Times New Roman" w:hAnsi="Times New Roman" w:cs="Times New Roman"/>
          <w:b/>
          <w:sz w:val="24"/>
          <w:color w:val="000000"/>
        </w:rPr>
        <w:t>Ontology Development Approach</w:t>
      </w:r>
    </w:p>
    <w:p>
      <w:pPr>
        <w:spacing w:line="480" w:lineRule="auto"/>
      </w:pPr>
      <w:r>
        <w:t>The ACSO will be developed using an iterative, competency-question-driven methodology adapted from Noy and McGuinness (2001) and Grüninger and Fox (1995). The development process will proceed through three phases corresponding to the three fiscal years of the project:</w:t>
      </w:r>
      <w:r>
        <w:t xml:space="preserve"> Intermediate artifacts from this progression will be maintained in SKOS-compatible form (W3C, 2009) so that machine readability is preserved across iterations.</w:t>
      </w:r>
    </w:p>
    <w:p>
      <w:pPr>
        <w:spacing w:line="480" w:lineRule="auto"/>
      </w:pPr>
      <w:r>
        <w:t>Phase 1 (FY27): Scoping and Data Identification. The project will determine the domain and scope of the ontology, enumerate important career state terms through literature review and data source investigation, and define the initial set of competency questions that the ontology must answer. Reuse of existing ontologies and taxonomies (e.g., ATAF, O*NET, HR-XML) will be evaluated. The output of Phase 1 will be a draft inventory of career state variables and a competency question set.</w:t>
      </w:r>
    </w:p>
    <w:p>
      <w:pPr>
        <w:spacing w:line="480" w:lineRule="auto"/>
      </w:pPr>
      <w:r>
        <w:t>Phase 2 (FY28): Ontology Construction and Formalization. The project will define the OWL class hierarchy, properties, and relationships that constitute the formal ontology, map career state variables to their data sources, and iteratively refine the ontology through internal review and automated reasoner checking. The output of Phase 2 will be a draft OWL ontology file and a data source mapping document.</w:t>
      </w:r>
    </w:p>
    <w:p>
      <w:pPr>
        <w:spacing w:line="480" w:lineRule="auto"/>
      </w:pPr>
      <w:r>
        <w:t>Phase 3 (FY29): Extension and Finalization. The project will extend the ontology beyond the core data elements to support advanced career pattern analysis, finalize documentation, and coordinate with sibling efforts to ensure interoperability. The output of Phase 3 will be the finalized ontology, complete documentation, and interoperability test results.</w:t>
      </w:r>
    </w:p>
    <w:p>
      <w:pPr>
        <w:pStyle w:val="Heading2"/>
        <w:jc w:val="left"/>
      </w:pPr>
      <w:r>
        <w:rPr>
          <w:rFonts w:ascii="Times New Roman" w:hAnsi="Times New Roman" w:cs="Times New Roman"/>
          <w:b/>
          <w:sz w:val="24"/>
          <w:color w:val="000000"/>
        </w:rPr>
        <w:t>Career State Variable Identification</w:t>
      </w:r>
    </w:p>
    <w:p>
      <w:pPr>
        <w:spacing w:line="480" w:lineRule="auto"/>
      </w:pPr>
      <w:r>
        <w:t>Career state variables will be identified through two complementary approaches: (a) top-down derivation from career development theory and (b) bottom-up extraction from existing Army HR data sources. The top-down approach draws on career development literature (Super, 1980; Schein, 1996) and Army career progression doctrine to identify theoretically meaningful career state dimensions, such as career stage, career anchor, assignment type, and developmental status. The bottom-up approach examines available data in ADP/PDE (particularly OER narratives and assignment records), ORB data (PME completion, branch transfers), and other accessible systems to identify variables that are both theoretically relevant and practically available.</w:t>
      </w:r>
    </w:p>
    <w:p>
      <w:pPr>
        <w:spacing w:line="480" w:lineRule="auto"/>
      </w:pPr>
      <w:r>
        <w:t>Based on the quad chart and info paper, the initial set of core career state variables includes: (a) assignment status (current position, unit, location, assignment type—operational vs. utilization), (b) rank (current grade, time in grade), (c) education and training status (PME completion, civilian education, certifications), (d) deployment history (operational deployments, combat tours), (e) PME completion (Captains Career Course, Command and General Staff College, senior service college), and (f) branch transfers (original branch, current branch, rebranching events). Additional variables may be identified during the Phase 1 investigation and added iteratively.</w:t>
      </w:r>
    </w:p>
    <w:p>
      <w:pPr>
        <w:spacing w:line="480" w:lineRule="auto"/>
      </w:pPr>
      <w:r>
        <w:t>Deployment history, while not directly available as a structured field in most HR databases, can be derived from OER narratives (which typically reference deployment context) or by matching individual DoD Identification Numbers (DODIDs) against assignment datasets within Vantage. Security clearance data, while relevant to career states, will be excluded from the ACSO scope due to personally identifiable information (PII) sensitivity and security classification concerns.</w:t>
      </w:r>
    </w:p>
    <w:p>
      <w:pPr>
        <w:pStyle w:val="Heading2"/>
        <w:jc w:val="left"/>
      </w:pPr>
      <w:r>
        <w:rPr>
          <w:rFonts w:ascii="Times New Roman" w:hAnsi="Times New Roman" w:cs="Times New Roman"/>
          <w:b/>
          <w:sz w:val="24"/>
          <w:color w:val="000000"/>
        </w:rPr>
        <w:t>Data Source Mapping</w:t>
      </w:r>
    </w:p>
    <w:p>
      <w:pPr>
        <w:spacing w:line="480" w:lineRule="auto"/>
      </w:pPr>
      <w:r>
        <w:t>Each career state variable identified in §5.2 will be mapped to its source database(s), with documentation of the data format, access procedures, aggregation requirements, and any transformation needed to conform to the ontology's formal definitions. The primary data sources are:</w:t>
      </w:r>
    </w:p>
    <w:p>
      <w:pPr>
        <w:spacing w:line="480" w:lineRule="auto"/>
      </w:pPr>
      <w:r>
        <w:t>(a) Army Data Platform (ADP/PDE): OER narratives, assignment histories, officer demographics, AWJA records, counseling records, award narratives. ADP is the primary source for assignment status, deployment history (derived from OER context), and demographic variables.</w:t>
      </w:r>
    </w:p>
    <w:p>
      <w:pPr>
        <w:spacing w:line="480" w:lineRule="auto"/>
      </w:pPr>
      <w:r>
        <w:t>(b) Officer Record Brief (ORB): Official school records (PME completion, civilian education), branch information, promotion history, assignment history. The ORB is the authoritative source for PME completion and branch transfer data.</w:t>
      </w:r>
    </w:p>
    <w:p>
      <w:pPr>
        <w:spacing w:line="480" w:lineRule="auto"/>
      </w:pPr>
      <w:r>
        <w:t>(c) IPPS-A (if accessible): Assignments, promotions, training, education, awards, evaluations, and ATAF talent attributes. IPPS-A access for ARI research is currently under investigation; the ACSO will document availability and access procedures as they are determined.</w:t>
      </w:r>
    </w:p>
    <w:p>
      <w:pPr>
        <w:spacing w:line="480" w:lineRule="auto"/>
      </w:pPr>
      <w:r>
        <w:t>The data source mapping will be maintained as a living document throughout the project, updated as new sources are identified or access conditions change. The mapping will follow OBDA principles (Poggi et al., 2008), defining formal correspondences between ontological variables and source schema elements to enable federated querying through the ontological view.</w:t>
      </w:r>
    </w:p>
    <w:p>
      <w:pPr>
        <w:spacing w:line="480" w:lineRule="auto"/>
      </w:pPr>
      <w:r>
        <w:t>Formally, the mapping between ontological variables and source schema elements follows the OBDA paradigm (Poggi et al., 2008), in which each ontology concept is linked to source data through mapping assertions:</w:t>
      </w:r>
    </w:p>
    <w:p>
      <w:pPr>
        <w:spacing w:before="120" w:after="120" w:line="480" w:lineRule="auto"/>
        <w:jc w:val="center"/>
      </w:pPr>
      <m:oMathPara>
        <m:oMath>
          <m:sSub>
            <m:e>
              <m:r>
                <m:t>ϕ</m:t>
              </m:r>
            </m:e>
            <m:sub>
              <m:r>
                <m:t>o</m:t>
              </m:r>
              <m:r>
                <m:t>n</m:t>
              </m:r>
              <m:r>
                <m:t>t</m:t>
              </m:r>
            </m:sub>
          </m:sSub>
          <m:r>
            <m:t>⤳</m:t>
          </m:r>
          <m:r>
            <m:t>SELECT </m:t>
          </m:r>
          <m:r>
            <m:t>*</m:t>
          </m:r>
          <m:r>
            <m:t> FROM </m:t>
          </m:r>
          <m:r>
            <m:t>source\_table WHERE </m:t>
          </m:r>
          <m:r>
            <m:t>condition</m:t>
          </m:r>
        </m:oMath>
      </m:oMathPara>
    </w:p>
    <w:p>
      <w:pPr>
        <w:spacing w:line="480" w:lineRule="auto"/>
      </w:pPr>
      <w:r>
        <w:t xml:space="preserve">where </w:t>
      </w:r>
      <w:r>
        <w:rPr>
          <w:i/>
        </w:rPr>
        <w:t>φ</w:t>
      </w:r>
      <w:r>
        <w:rPr>
          <w:vertAlign w:val="subscript"/>
        </w:rPr>
        <w:t>ont</w:t>
      </w:r>
      <w:r>
        <w:t xml:space="preserve"> is the ontological concept (e.g., a career state variable class), the arrow denotes a mapping assertion, and the right-hand side is a SQL query over the source database schema. For example, the </w:t>
      </w:r>
      <w:r>
        <w:rPr>
          <w:i/>
        </w:rPr>
        <w:t>PMECompletion</w:t>
      </w:r>
      <w:r>
        <w:t xml:space="preserve"> variable maps to a query selecting completion dates from the ORB school records table. This formalism enables federated querying: a user query expressed in ontology terms is rewritten by the OBDA engine into a union of SQL queries against the underlying sources, returning results as ontology instances without requiring physical data migration (Poggi et al., 2008).</w:t>
      </w:r>
    </w:p>
    <w:p>
      <w:pPr>
        <w:pStyle w:val="Heading2"/>
        <w:jc w:val="left"/>
      </w:pPr>
      <w:r>
        <w:rPr>
          <w:rFonts w:ascii="Times New Roman" w:hAnsi="Times New Roman" w:cs="Times New Roman"/>
          <w:b/>
          <w:sz w:val="24"/>
          <w:color w:val="000000"/>
        </w:rPr>
        <w:t>Ontology Construction and Formalization</w:t>
      </w:r>
    </w:p>
    <w:p>
      <w:pPr>
        <w:spacing w:line="480" w:lineRule="auto"/>
      </w:pPr>
      <w:r>
        <w:t>The ACSO will be constructed as an OWL 2 DL ontology, targeting compliance with the current W3C OWL 2 standard (W3C, 2012). The ontology will define: (a) classes representing career state concepts (e.g., Officer, CareerState, Assignment, Rank, PME, Branch), (b) object properties representing relationships among concepts (e.g., hasAssignment, hasRank, hasPME, transferredTo), (c) data properties representing attribute values (e.g., rankGrade, timeInGrade, pmeCompletionDate), and (d) individuals representing specific instances where appropriate (e.g., specific rank grades, specific PME courses).</w:t>
      </w:r>
      <w:r>
        <w:t xml:space="preserve"> Profile conformance will be checked at each iteration: where complete DL reasoning proves computationally expensive at scale, EL- and RL-conformant views of the ontology will be evaluated as tractable alternatives for routine classification (W3C, 2012).</w:t>
      </w:r>
    </w:p>
    <w:p>
      <w:pPr>
        <w:spacing w:line="480" w:lineRule="auto"/>
      </w:pPr>
      <w:r>
        <w:t>To illustrate the formal structure, the career state of an officer can be expressed as a DL class axiom:</w:t>
      </w:r>
    </w:p>
    <w:p>
      <w:pPr>
        <w:spacing w:before="120" w:after="120" w:line="480" w:lineRule="auto"/>
        <w:jc w:val="center"/>
      </w:pPr>
      <m:oMathPara>
        <m:oMath>
          <m:r>
            <m:t>Officer</m:t>
          </m:r>
          <m:r>
            <m:t>⊑</m:t>
          </m:r>
          <m:r>
            <m:t>∃</m:t>
          </m:r>
          <m:r>
            <m:t>hasAssignment</m:t>
          </m:r>
          <m:r>
            <m:t>.</m:t>
          </m:r>
          <m:r>
            <m:t>Assignment</m:t>
          </m:r>
          <m:r>
            <m:t>⊓</m:t>
          </m:r>
          <m:r>
            <m:t>∃</m:t>
          </m:r>
          <m:r>
            <m:t>hasRank</m:t>
          </m:r>
          <m:r>
            <m:t>.</m:t>
          </m:r>
          <m:r>
            <m:t>Rank</m:t>
          </m:r>
          <m:r>
            <m:t>⊓</m:t>
          </m:r>
          <m:r>
            <m:t>∃</m:t>
          </m:r>
          <m:r>
            <m:t>hasPME</m:t>
          </m:r>
          <m:r>
            <m:t>.</m:t>
          </m:r>
          <m:r>
            <m:t>PME</m:t>
          </m:r>
        </m:oMath>
      </m:oMathPara>
    </w:p>
    <w:p>
      <w:pPr>
        <w:spacing w:line="480" w:lineRule="auto"/>
      </w:pPr>
      <w:r>
        <w:t xml:space="preserve">This axiom states that every instance of the </w:t>
      </w:r>
      <w:r>
        <w:rPr>
          <w:i/>
        </w:rPr>
        <w:t>Officer</w:t>
      </w:r>
      <w:r>
        <w:t xml:space="preserve"> class must have at least one assignment, at least one rank, and at least one PME record, established through the object properties </w:t>
      </w:r>
      <w:r>
        <w:rPr>
          <w:i/>
        </w:rPr>
        <w:t>hasAssignment</w:t>
      </w:r>
      <w:r>
        <w:rPr>
          <w:i/>
        </w:rPr>
        <w:t>hasRank</w:t>
      </w:r>
      <w:r>
        <w:t xml:space="preserve">, </w:t>
      </w:r>
      <w:r>
        <w:rPr>
          <w:i/>
        </w:rPr>
        <w:t>and hasPME</w:t>
      </w:r>
      <w:r>
        <w:t>. These existential quantifiers ensure that no officer instance can be created without the minimum career state data, enforcing referential integrity at the ontology level.</w:t>
      </w:r>
    </w:p>
    <w:p>
      <w:pPr>
        <w:spacing w:line="480" w:lineRule="auto"/>
      </w:pPr>
      <w:r>
        <w:t>The ontology will be developed using standard ontology editing tools (e.g., Protégé) and validated using description logic reasoners (e.g., Pellet, HermiT) for consistency checking and classification. The Vantage-hosted deployment will package supporting code in a Docker-based containerization approach, as specified in the info paper (Slaughter et al., 2026). The ontology file and supporting code will be maintained under version control to track the iterative refinement process.</w:t>
      </w:r>
    </w:p>
    <w:p>
      <w:pPr>
        <w:pStyle w:val="Heading2"/>
        <w:jc w:val="left"/>
      </w:pPr>
      <w:r>
        <w:rPr>
          <w:rFonts w:ascii="Times New Roman" w:hAnsi="Times New Roman" w:cs="Times New Roman"/>
          <w:b/>
          <w:sz w:val="24"/>
          <w:color w:val="000000"/>
        </w:rPr>
        <w:t>Interoperability Coordination</w:t>
      </w:r>
    </w:p>
    <w:p>
      <w:pPr>
        <w:spacing w:line="480" w:lineRule="auto"/>
      </w:pPr>
      <w:r>
        <w:t>Interoperability with related ARI efforts will be maintained through ongoing coordination throughout the project. Specifically: (a) the OTT Data Collection project's taxonomy construction methodology and Vantage platform conventions will serve as a model, and the ACSO will adopt compatible naming conventions and platform patterns; (b) the Career Planning Profiler's data requirements will inform the ACSO's competency questions, ensuring that the ontology satisfies the downstream consumer's needs; (c) the unit context ontology effort will be coordinated to ensure that assignment-related concepts can be cross-referenced; and (d) the longitudinal career database initiative will be coordinated to ensure that the ACSO's schema is directly implementable in the database architecture.</w:t>
      </w:r>
    </w:p>
    <w:p>
      <w:pPr>
        <w:spacing w:line="480" w:lineRule="auto"/>
      </w:pPr>
      <w:r>
        <w:t>Coordination commitments will be documented at each phase gate: the Phase 1 closeout will record the naming conventions and platform patterns adopted from the OTT Data Collection project, the Phase 2 closeout will record the competency questions traced to Profiler requirements, and the Phase 3 closeout will record the cross-reference and query test results described in the analysis plan. This creates an auditable interoperability trail that the longitudinal career database and HRC-RD transition review can verify independently.</w:t>
      </w:r>
    </w:p>
    <w:p>
      <w:pPr>
        <w:pStyle w:val="Heading1"/>
        <w:jc w:val="center"/>
      </w:pPr>
      <w:r>
        <w:rPr>
          <w:rFonts w:ascii="Times New Roman" w:hAnsi="Times New Roman" w:cs="Times New Roman"/>
          <w:b/>
          <w:sz w:val="24"/>
          <w:color w:val="000000"/>
        </w:rPr>
        <w:t>Data</w:t>
      </w:r>
    </w:p>
    <w:p>
      <w:pPr>
        <w:pStyle w:val="Heading2"/>
        <w:jc w:val="left"/>
      </w:pPr>
      <w:r>
        <w:rPr>
          <w:rFonts w:ascii="Times New Roman" w:hAnsi="Times New Roman" w:cs="Times New Roman"/>
          <w:b/>
          <w:sz w:val="24"/>
          <w:color w:val="000000"/>
        </w:rPr>
        <w:t>Primary Data Sources</w:t>
      </w:r>
    </w:p>
    <w:p>
      <w:pPr>
        <w:spacing w:line="480" w:lineRule="auto"/>
      </w:pPr>
      <w:r>
        <w:t xml:space="preserve">The primary data source for the ACSO project is the Army Data Platform (ADP; formerly the Person Data Environment [PDE]), hosted on the Vantage (Palantir Foundry) infrastructure. ADP contains the following career-relevant datasets: (a) Officer Evaluation Report (OER) narratives, which provide rich textual descriptions of officer performance, assignments, and deployment context; (b) assignment histories, including position, unit, location, and duty type; (c) officer demographics, including Area of Concentration (AOC)/MOS, rank, and commissioning source; (d) Army Wide Job Analysis (AWJA) records; (e) counseling records; and (f) award narratives. These datasets provide the raw data from which career state variables will be extracted, validated, and formalized in the ontology.</w:t>
      </w:r>
    </w:p>
    <w:p>
      <w:pPr>
        <w:pStyle w:val="Heading2"/>
        <w:jc w:val="left"/>
      </w:pPr>
      <w:r>
        <w:rPr>
          <w:rFonts w:ascii="Times New Roman" w:hAnsi="Times New Roman" w:cs="Times New Roman"/>
          <w:b/>
          <w:sz w:val="24"/>
          <w:color w:val="000000"/>
        </w:rPr>
        <w:t>Supplementary Sources</w:t>
      </w:r>
    </w:p>
    <w:p>
      <w:pPr>
        <w:spacing w:line="480" w:lineRule="auto"/>
      </w:pPr>
      <w:r>
        <w:t>Supplementary data sources include: (a) the Officer Record Brief (ORB), which provides authoritative records for professional military education (PME) completion, branch transfers, promotion history, and civilian education; and (b) IPPS-A, which may provide structured data on assignments, training, awards, and ATAF talent attributes, contingent on access availability. The accessibility of IPPS-A data for ARI research is currently under investigation and will be documented during Phase 1 (FY27).</w:t>
      </w:r>
    </w:p>
    <w:p>
      <w:pPr>
        <w:pStyle w:val="Heading2"/>
        <w:jc w:val="left"/>
      </w:pPr>
      <w:r>
        <w:rPr>
          <w:rFonts w:ascii="Times New Roman" w:hAnsi="Times New Roman" w:cs="Times New Roman"/>
          <w:b/>
          <w:sz w:val="24"/>
          <w:color w:val="000000"/>
        </w:rPr>
        <w:t>Data Accessibility and Format</w:t>
      </w:r>
    </w:p>
    <w:p>
      <w:pPr>
        <w:spacing w:line="480" w:lineRule="auto"/>
      </w:pPr>
      <w:r>
        <w:t>ADP data are accessible through the Vantage platform, with data access governed by ARI's existing data sharing agreements and platform permissions. OER narratives are available as text fields; assignment and demographic data are available as structured tables. ORB data are available as semi-structured documents (PDF/XML exports) that require parsing and transformation to conform to ontological definitions. The ACSO project will document all access procedures, data formats, and transformation requirements in the data source mapping deliverable.</w:t>
      </w:r>
    </w:p>
    <w:p>
      <w:pPr>
        <w:pStyle w:val="Heading2"/>
        <w:jc w:val="left"/>
      </w:pPr>
      <w:r>
        <w:rPr>
          <w:rFonts w:ascii="Times New Roman" w:hAnsi="Times New Roman" w:cs="Times New Roman"/>
          <w:b/>
          <w:sz w:val="24"/>
          <w:color w:val="000000"/>
        </w:rPr>
        <w:t>Exclusions</w:t>
      </w:r>
    </w:p>
    <w:p>
      <w:pPr>
        <w:spacing w:line="480" w:lineRule="auto"/>
      </w:pPr>
      <w:r>
        <w:t>Security clearance data, while relevant to career states, is excluded from the ACSO scope due to personally identifiable information (PII) sensitivity and security classification concerns. The ontology may define a placeholder property for security clearance status (e.g., hasClearance) without populating instance data, enabling future extension if access and security constraints permit.</w:t>
      </w:r>
    </w:p>
    <w:p>
      <w:pPr>
        <w:pStyle w:val="Heading1"/>
        <w:jc w:val="center"/>
      </w:pPr>
      <w:r>
        <w:rPr>
          <w:rFonts w:ascii="Times New Roman" w:hAnsi="Times New Roman" w:cs="Times New Roman"/>
          <w:b/>
          <w:sz w:val="24"/>
          <w:color w:val="000000"/>
        </w:rPr>
        <w:t>Measures</w:t>
      </w:r>
    </w:p>
    <w:p>
      <w:pPr>
        <w:pStyle w:val="Heading2"/>
        <w:jc w:val="left"/>
      </w:pPr>
      <w:r>
        <w:rPr>
          <w:rFonts w:ascii="Times New Roman" w:hAnsi="Times New Roman" w:cs="Times New Roman"/>
          <w:b/>
          <w:sz w:val="24"/>
          <w:color w:val="000000"/>
        </w:rPr>
        <w:t>Career State Variables</w:t>
      </w:r>
    </w:p>
    <w:p>
      <w:pPr>
        <w:spacing w:line="480" w:lineRule="auto"/>
      </w:pPr>
      <w:r>
        <w:t>The following career state variables constitute the initial core set for ontology formalization. Each variable is defined with its conceptual meaning, data source, and measurement type:</w:t>
      </w:r>
    </w:p>
    <w:p>
      <w:pPr>
        <w:spacing w:before="240" w:after="0" w:line="480" w:lineRule="auto"/>
      </w:pPr>
      <w:r>
        <w:rPr>
          <w:rFonts w:ascii="Times New Roman" w:hAnsi="Times New Roman"/>
          <w:b/>
          <w:i w:val="0"/>
          <w:sz w:val="24"/>
        </w:rPr>
        <w:t>Table 2</w:t>
      </w:r>
    </w:p>
    <w:p>
      <w:pPr>
        <w:spacing w:before="0" w:after="80" w:line="480" w:lineRule="auto"/>
      </w:pPr>
      <w:r>
        <w:rPr>
          <w:rFonts w:ascii="Times New Roman" w:hAnsi="Times New Roman"/>
          <w:b w:val="0"/>
          <w:i/>
          <w:sz w:val="24"/>
        </w:rPr>
        <w:t>Career State Variables, Definitions, Sources, and Measurement Types</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160"/>
        <w:gridCol w:w="2160"/>
        <w:gridCol w:w="2160"/>
        <w:gridCol w:w="2160"/>
      </w:tblGrid>
      <w:tr>
        <w:tc>
          <w:tcPr>
            <w:tcW w:type="dxa" w:w="2160"/>
            <w:tcBorders>
              <w:bottom w:val="single" w:sz="8" w:space="0" w:color="000000"/>
            </w:tcBorders>
          </w:tcPr>
          <w:p>
            <w:r>
              <w:rPr>
                <w:sz w:val="20"/>
              </w:rPr>
              <w:t>Variable</w:t>
            </w:r>
          </w:p>
        </w:tc>
        <w:tc>
          <w:tcPr>
            <w:tcW w:type="dxa" w:w="2160"/>
            <w:tcBorders>
              <w:bottom w:val="single" w:sz="8" w:space="0" w:color="000000"/>
            </w:tcBorders>
          </w:tcPr>
          <w:p>
            <w:r>
              <w:rPr>
                <w:sz w:val="20"/>
              </w:rPr>
              <w:t>Definition</w:t>
            </w:r>
          </w:p>
        </w:tc>
        <w:tc>
          <w:tcPr>
            <w:tcW w:type="dxa" w:w="2160"/>
            <w:tcBorders>
              <w:bottom w:val="single" w:sz="8" w:space="0" w:color="000000"/>
            </w:tcBorders>
          </w:tcPr>
          <w:p>
            <w:r>
              <w:rPr>
                <w:sz w:val="20"/>
              </w:rPr>
              <w:t>Primary Source</w:t>
            </w:r>
          </w:p>
        </w:tc>
        <w:tc>
          <w:tcPr>
            <w:tcW w:type="dxa" w:w="2160"/>
            <w:tcBorders>
              <w:bottom w:val="single" w:sz="8" w:space="0" w:color="000000"/>
            </w:tcBorders>
          </w:tcPr>
          <w:p>
            <w:r>
              <w:rPr>
                <w:sz w:val="20"/>
              </w:rPr>
              <w:t>Measurement Type</w:t>
            </w:r>
          </w:p>
        </w:tc>
      </w:tr>
      <w:tr>
        <w:tc>
          <w:tcPr>
            <w:tcW w:type="dxa" w:w="2160"/>
          </w:tcPr>
          <w:p>
            <w:r>
              <w:rPr>
                <w:sz w:val="20"/>
              </w:rPr>
              <w:t>Assignment Status</w:t>
            </w:r>
          </w:p>
        </w:tc>
        <w:tc>
          <w:tcPr>
            <w:tcW w:type="dxa" w:w="2160"/>
          </w:tcPr>
          <w:p>
            <w:r>
              <w:rPr>
                <w:sz w:val="20"/>
              </w:rPr>
              <w:t>Current position, unit, location, and duty type (operational vs. utilization)</w:t>
            </w:r>
          </w:p>
        </w:tc>
        <w:tc>
          <w:tcPr>
            <w:tcW w:type="dxa" w:w="2160"/>
          </w:tcPr>
          <w:p>
            <w:r>
              <w:rPr>
                <w:sz w:val="20"/>
              </w:rPr>
              <w:t>ADP/PDE</w:t>
            </w:r>
          </w:p>
        </w:tc>
        <w:tc>
          <w:tcPr>
            <w:tcW w:type="dxa" w:w="2160"/>
          </w:tcPr>
          <w:p>
            <w:r>
              <w:rPr>
                <w:sz w:val="20"/>
              </w:rPr>
              <w:t>Categorical / Structured</w:t>
            </w:r>
          </w:p>
        </w:tc>
      </w:tr>
      <w:tr>
        <w:tc>
          <w:tcPr>
            <w:tcW w:type="dxa" w:w="2160"/>
          </w:tcPr>
          <w:p>
            <w:r>
              <w:rPr>
                <w:sz w:val="20"/>
              </w:rPr>
              <w:t>Rank</w:t>
            </w:r>
          </w:p>
        </w:tc>
        <w:tc>
          <w:tcPr>
            <w:tcW w:type="dxa" w:w="2160"/>
          </w:tcPr>
          <w:p>
            <w:r>
              <w:rPr>
                <w:sz w:val="20"/>
              </w:rPr>
              <w:t>Current grade and time in grade</w:t>
            </w:r>
          </w:p>
        </w:tc>
        <w:tc>
          <w:tcPr>
            <w:tcW w:type="dxa" w:w="2160"/>
          </w:tcPr>
          <w:p>
            <w:r>
              <w:rPr>
                <w:sz w:val="20"/>
              </w:rPr>
              <w:t>ADP/PDE, ORB</w:t>
            </w:r>
          </w:p>
        </w:tc>
        <w:tc>
          <w:tcPr>
            <w:tcW w:type="dxa" w:w="2160"/>
          </w:tcPr>
          <w:p>
            <w:r>
              <w:rPr>
                <w:sz w:val="20"/>
              </w:rPr>
              <w:t>Ordinal / Temporal</w:t>
            </w:r>
          </w:p>
        </w:tc>
      </w:tr>
      <w:tr>
        <w:tc>
          <w:tcPr>
            <w:tcW w:type="dxa" w:w="2160"/>
          </w:tcPr>
          <w:p>
            <w:r>
              <w:rPr>
                <w:sz w:val="20"/>
              </w:rPr>
              <w:t>Education &amp; Training Status</w:t>
            </w:r>
          </w:p>
        </w:tc>
        <w:tc>
          <w:tcPr>
            <w:tcW w:type="dxa" w:w="2160"/>
          </w:tcPr>
          <w:p>
            <w:r>
              <w:rPr>
                <w:sz w:val="20"/>
              </w:rPr>
              <w:t>PME completion, civilian education, certifications</w:t>
            </w:r>
          </w:p>
        </w:tc>
        <w:tc>
          <w:tcPr>
            <w:tcW w:type="dxa" w:w="2160"/>
          </w:tcPr>
          <w:p>
            <w:r>
              <w:rPr>
                <w:sz w:val="20"/>
              </w:rPr>
              <w:t>ORB, IPPS-A</w:t>
            </w:r>
          </w:p>
        </w:tc>
        <w:tc>
          <w:tcPr>
            <w:tcW w:type="dxa" w:w="2160"/>
          </w:tcPr>
          <w:p>
            <w:r>
              <w:rPr>
                <w:sz w:val="20"/>
              </w:rPr>
              <w:t>Categorical / Temporal</w:t>
            </w:r>
          </w:p>
        </w:tc>
      </w:tr>
      <w:tr>
        <w:tc>
          <w:tcPr>
            <w:tcW w:type="dxa" w:w="2160"/>
          </w:tcPr>
          <w:p>
            <w:r>
              <w:rPr>
                <w:sz w:val="20"/>
              </w:rPr>
              <w:t>Deployment History</w:t>
            </w:r>
          </w:p>
        </w:tc>
        <w:tc>
          <w:tcPr>
            <w:tcW w:type="dxa" w:w="2160"/>
          </w:tcPr>
          <w:p>
            <w:r>
              <w:rPr>
                <w:sz w:val="20"/>
              </w:rPr>
              <w:t>Operational deployments and combat tours</w:t>
            </w:r>
          </w:p>
        </w:tc>
        <w:tc>
          <w:tcPr>
            <w:tcW w:type="dxa" w:w="2160"/>
          </w:tcPr>
          <w:p>
            <w:r>
              <w:rPr>
                <w:sz w:val="20"/>
              </w:rPr>
              <w:t>ADP/PDE (OER-derived), Vantage assignment data</w:t>
            </w:r>
          </w:p>
        </w:tc>
        <w:tc>
          <w:tcPr>
            <w:tcW w:type="dxa" w:w="2160"/>
          </w:tcPr>
          <w:p>
            <w:r>
              <w:rPr>
                <w:sz w:val="20"/>
              </w:rPr>
              <w:t>Count / Temporal</w:t>
            </w:r>
          </w:p>
        </w:tc>
      </w:tr>
      <w:tr>
        <w:tc>
          <w:tcPr>
            <w:tcW w:type="dxa" w:w="2160"/>
          </w:tcPr>
          <w:p>
            <w:r>
              <w:rPr>
                <w:sz w:val="20"/>
              </w:rPr>
              <w:t>PME Completion</w:t>
            </w:r>
          </w:p>
        </w:tc>
        <w:tc>
          <w:tcPr>
            <w:tcW w:type="dxa" w:w="2160"/>
          </w:tcPr>
          <w:p>
            <w:r>
              <w:rPr>
                <w:sz w:val="20"/>
              </w:rPr>
              <w:t>Captains Career Course, CGSC, Senior Service College completion</w:t>
            </w:r>
          </w:p>
        </w:tc>
        <w:tc>
          <w:tcPr>
            <w:tcW w:type="dxa" w:w="2160"/>
          </w:tcPr>
          <w:p>
            <w:r>
              <w:rPr>
                <w:sz w:val="20"/>
              </w:rPr>
              <w:t>ORB</w:t>
            </w:r>
          </w:p>
        </w:tc>
        <w:tc>
          <w:tcPr>
            <w:tcW w:type="dxa" w:w="2160"/>
          </w:tcPr>
          <w:p>
            <w:r>
              <w:rPr>
                <w:sz w:val="20"/>
              </w:rPr>
              <w:t>Categorical / Temporal</w:t>
            </w:r>
          </w:p>
        </w:tc>
      </w:tr>
      <w:tr>
        <w:tc>
          <w:tcPr>
            <w:tcW w:type="dxa" w:w="2160"/>
          </w:tcPr>
          <w:p>
            <w:r>
              <w:rPr>
                <w:sz w:val="20"/>
              </w:rPr>
              <w:t>Branch Transfers</w:t>
            </w:r>
          </w:p>
        </w:tc>
        <w:tc>
          <w:tcPr>
            <w:tcW w:type="dxa" w:w="2160"/>
          </w:tcPr>
          <w:p>
            <w:r>
              <w:rPr>
                <w:sz w:val="20"/>
              </w:rPr>
              <w:t>Original branch, current branch, rebranching events</w:t>
            </w:r>
          </w:p>
        </w:tc>
        <w:tc>
          <w:tcPr>
            <w:tcW w:type="dxa" w:w="2160"/>
          </w:tcPr>
          <w:p>
            <w:r>
              <w:rPr>
                <w:sz w:val="20"/>
              </w:rPr>
              <w:t>ORB</w:t>
            </w:r>
          </w:p>
        </w:tc>
        <w:tc>
          <w:tcPr>
            <w:tcW w:type="dxa" w:w="2160"/>
          </w:tcPr>
          <w:p>
            <w:r>
              <w:rPr>
                <w:sz w:val="20"/>
              </w:rPr>
              <w:t>Categorical / Event-based</w:t>
            </w:r>
          </w:p>
        </w:tc>
      </w:tr>
    </w:tbl>
    <w:p>
      <w:pPr>
        <w:spacing w:before="40" w:after="240" w:line="480" w:lineRule="auto"/>
        <w:jc w:val="left"/>
      </w:pPr>
      <w:r>
        <w:rPr>
          <w:rFonts w:ascii="Times New Roman" w:hAnsi="Times New Roman"/>
          <w:i/>
          <w:sz w:val="20"/>
        </w:rPr>
        <w:t>Note.</w:t>
      </w:r>
      <w:r>
        <w:rPr>
          <w:rFonts w:ascii="Times New Roman" w:hAnsi="Times New Roman"/>
          <w:i w:val="0"/>
          <w:sz w:val="20"/>
        </w:rPr>
        <w:t xml:space="preserve"> ADP = Army Data Platform; ORB = Officer Record Brief; IPPS-A = Integrated Personnel and Pay System–Army; PME = professional military education; OER = Officer Evaluation Report.</w:t>
      </w:r>
    </w:p>
    <w:p>
      <w:pPr>
        <w:spacing w:line="480" w:lineRule="auto"/>
      </w:pPr>
    </w:p>
    <w:p>
      <w:pPr>
        <w:pStyle w:val="Heading2"/>
        <w:jc w:val="left"/>
      </w:pPr>
      <w:r>
        <w:rPr>
          <w:rFonts w:ascii="Times New Roman" w:hAnsi="Times New Roman" w:cs="Times New Roman"/>
          <w:b/>
          <w:sz w:val="24"/>
          <w:color w:val="000000"/>
        </w:rPr>
        <w:t>Variable–Data Source Mapping</w:t>
      </w:r>
    </w:p>
    <w:p>
      <w:pPr>
        <w:spacing w:line="480" w:lineRule="auto"/>
      </w:pPr>
      <w:r>
        <w:t>The complete variable-to-data-source mapping will be developed during Phase 1 (FY27) and maintained as a living document. The mapping will specify, for each career state variable: (a) the source database(s), (b) the specific table or field name, (c) the data format and type, (d) the access procedure, (e) any transformation required to conform to the ontological definition, and (f) known data quality issues or limitations. See Appendix B for the mapping matrix template.</w:t>
      </w:r>
    </w:p>
    <w:p>
      <w:pPr>
        <w:pStyle w:val="Heading2"/>
        <w:jc w:val="left"/>
      </w:pPr>
      <w:r>
        <w:rPr>
          <w:rFonts w:ascii="Times New Roman" w:hAnsi="Times New Roman" w:cs="Times New Roman"/>
          <w:b/>
          <w:sz w:val="24"/>
          <w:color w:val="000000"/>
        </w:rPr>
        <w:t>Ontology Completeness Metrics</w:t>
      </w:r>
    </w:p>
    <w:p>
      <w:pPr>
        <w:spacing w:line="480" w:lineRule="auto"/>
      </w:pPr>
      <w:r>
        <w:t>Ontology completeness will be measured as the percentage of identified career state variables that have been formally defined in OWL and mapped to at least one data source. The target for the Phase 2 (FY28) deliverable is 100% of core variables formalized and mapped. Additional metrics include: (a) number of competency questions answerable by the ontology, (b) number of automated reasoner inferences supported, and (c) number of interoperability cross-references with sibling project schemas.</w:t>
      </w:r>
    </w:p>
    <w:p>
      <w:pPr>
        <w:spacing w:before="120" w:after="120" w:line="480" w:lineRule="auto"/>
        <w:jc w:val="center"/>
      </w:pPr>
      <m:oMathPara>
        <m:oMath>
          <m:r>
            <m:t>C</m:t>
          </m:r>
          <m:r>
            <m:t>=</m:t>
          </m:r>
          <m:f>
            <m:num>
              <m:r>
                <m:t>|</m:t>
              </m:r>
              <m:sSub>
                <m:e>
                  <m:r>
                    <m:t>V</m:t>
                  </m:r>
                </m:e>
                <m:sub>
                  <m:r>
                    <m:t>f</m:t>
                  </m:r>
                  <m:r>
                    <m:t>o</m:t>
                  </m:r>
                  <m:r>
                    <m:t>r</m:t>
                  </m:r>
                  <m:r>
                    <m:t>m</m:t>
                  </m:r>
                  <m:r>
                    <m:t>a</m:t>
                  </m:r>
                  <m:r>
                    <m:t>l</m:t>
                  </m:r>
                  <m:r>
                    <m:t>i</m:t>
                  </m:r>
                  <m:r>
                    <m:t>z</m:t>
                  </m:r>
                  <m:r>
                    <m:t>e</m:t>
                  </m:r>
                  <m:r>
                    <m:t>d</m:t>
                  </m:r>
                </m:sub>
              </m:sSub>
              <m:r>
                <m:t>∩</m:t>
              </m:r>
              <m:sSub>
                <m:e>
                  <m:r>
                    <m:t>V</m:t>
                  </m:r>
                </m:e>
                <m:sub>
                  <m:r>
                    <m:t>m</m:t>
                  </m:r>
                  <m:r>
                    <m:t>a</m:t>
                  </m:r>
                  <m:r>
                    <m:t>p</m:t>
                  </m:r>
                  <m:r>
                    <m:t>p</m:t>
                  </m:r>
                  <m:r>
                    <m:t>e</m:t>
                  </m:r>
                  <m:r>
                    <m:t>d</m:t>
                  </m:r>
                </m:sub>
              </m:sSub>
              <m:r>
                <m:t>|</m:t>
              </m:r>
            </m:num>
            <m:den>
              <m:r>
                <m:t>|</m:t>
              </m:r>
              <m:sSub>
                <m:e>
                  <m:r>
                    <m:t>V</m:t>
                  </m:r>
                </m:e>
                <m:sub>
                  <m:r>
                    <m:t>i</m:t>
                  </m:r>
                  <m:r>
                    <m:t>d</m:t>
                  </m:r>
                  <m:r>
                    <m:t>e</m:t>
                  </m:r>
                  <m:r>
                    <m:t>n</m:t>
                  </m:r>
                  <m:r>
                    <m:t>t</m:t>
                  </m:r>
                  <m:r>
                    <m:t>i</m:t>
                  </m:r>
                  <m:r>
                    <m:t>f</m:t>
                  </m:r>
                  <m:r>
                    <m:t>i</m:t>
                  </m:r>
                  <m:r>
                    <m:t>e</m:t>
                  </m:r>
                  <m:r>
                    <m:t>d</m:t>
                  </m:r>
                </m:sub>
              </m:sSub>
              <m:r>
                <m:t>|</m:t>
              </m:r>
            </m:den>
          </m:f>
          <m:r>
            <m:t>×</m:t>
          </m:r>
          <m:r>
            <m:t>100</m:t>
          </m:r>
        </m:oMath>
      </m:oMathPara>
    </w:p>
    <w:p>
      <w:pPr>
        <w:spacing w:line="480" w:lineRule="auto"/>
      </w:pPr>
      <w:r>
        <w:t xml:space="preserve">where </w:t>
      </w:r>
      <w:r>
        <w:rPr>
          <w:i/>
        </w:rPr>
        <w:t>C</w:t>
      </w:r>
      <w:r>
        <w:t xml:space="preserve"> is ontology completeness (expressed as a percentage), </w:t>
      </w:r>
      <w:r>
        <w:rPr>
          <w:i/>
        </w:rPr>
        <w:t>V</w:t>
      </w:r>
      <w:r>
        <w:rPr>
          <w:vertAlign w:val="subscript"/>
        </w:rPr>
        <w:t>identified</w:t>
      </w:r>
      <w:r>
        <w:t xml:space="preserve"> is the set of career state variables identified during Phase 1, </w:t>
      </w:r>
      <w:r>
        <w:rPr>
          <w:i/>
        </w:rPr>
        <w:t>V</w:t>
      </w:r>
      <w:r>
        <w:rPr>
          <w:vertAlign w:val="subscript"/>
        </w:rPr>
        <w:t>formalized</w:t>
      </w:r>
      <w:r>
        <w:t xml:space="preserve"> is the subset formalized in OWL 2, and </w:t>
      </w:r>
      <w:r>
        <w:rPr>
          <w:i/>
        </w:rPr>
        <w:t>V</w:t>
      </w:r>
      <w:r>
        <w:rPr>
          <w:vertAlign w:val="subscript"/>
        </w:rPr>
        <w:t>mapped</w:t>
      </w:r>
      <w:r>
        <w:t xml:space="preserve"> is the subset mapped to at least one data source. The target is </w:t>
      </w:r>
      <w:r>
        <w:t>C</w:t>
      </w:r>
      <w:r>
        <w:t xml:space="preserve"> = 100</w:t>
      </w:r>
      <w:r>
        <w:t xml:space="preserve"> for core variables by the end of Phase 2 (FY28).</w:t>
      </w:r>
    </w:p>
    <w:p>
      <w:pPr>
        <w:pStyle w:val="Heading1"/>
        <w:jc w:val="center"/>
      </w:pPr>
      <w:r>
        <w:rPr>
          <w:rFonts w:ascii="Times New Roman" w:hAnsi="Times New Roman" w:cs="Times New Roman"/>
          <w:b/>
          <w:sz w:val="24"/>
          <w:color w:val="000000"/>
        </w:rPr>
        <w:t>Analysis Plan</w:t>
      </w:r>
    </w:p>
    <w:p>
      <w:pPr>
        <w:pStyle w:val="Heading2"/>
        <w:jc w:val="left"/>
      </w:pPr>
      <w:r>
        <w:rPr>
          <w:rFonts w:ascii="Times New Roman" w:hAnsi="Times New Roman" w:cs="Times New Roman"/>
          <w:b/>
          <w:sz w:val="24"/>
          <w:color w:val="000000"/>
        </w:rPr>
        <w:t>Ontology Validation</w:t>
      </w:r>
    </w:p>
    <w:p>
      <w:pPr>
        <w:spacing w:line="480" w:lineRule="auto"/>
      </w:pPr>
      <w:r>
        <w:t>Ontology validation will follow the four-dimensional framework of Gómez-Pérez et al. (2004): (a) syntactic validation through OWL parser and reasoner checks; (b) structural validation through class hierarchy and property consistency checking using description logic reasoners (Pellet, HermiT); (c) semantic validation through expert review by ARI researchers, HRC analysts, and personnel data specialists; and (d) pragmatic validation through competency question testing—verifying that the ontology can deduce answers to the questions defined in Phase 1.</w:t>
      </w:r>
    </w:p>
    <w:p>
      <w:pPr>
        <w:spacing w:line="480" w:lineRule="auto"/>
      </w:pPr>
      <w:r>
        <w:t>Competency questions will be derived from three sources: (a) the research questions in §3, (b) the Career Planning Profiler's data requirements (as a downstream consumer), and (c) consultation with ARI researchers who would use the ontology to assemble career datasets. Examples of competency questions include: "What is Officer X's career state at time T?", "Which officers have completed CGSC and are in operational assignments?", and "What data source provides PME completion dates for a given officer?"</w:t>
      </w:r>
    </w:p>
    <w:p>
      <w:pPr>
        <w:pStyle w:val="Heading2"/>
        <w:jc w:val="left"/>
      </w:pPr>
      <w:r>
        <w:rPr>
          <w:rFonts w:ascii="Times New Roman" w:hAnsi="Times New Roman" w:cs="Times New Roman"/>
          <w:b/>
          <w:sz w:val="24"/>
          <w:color w:val="000000"/>
        </w:rPr>
        <w:t>Coverage Assessment</w:t>
      </w:r>
    </w:p>
    <w:p>
      <w:pPr>
        <w:spacing w:line="480" w:lineRule="auto"/>
      </w:pPr>
      <w:r>
        <w:t>Coverage assessment will evaluate the extent to which the ontology captures the career state variables needed for future career pattern analysis. This will be assessed by: (a) comparing the formalized variable set against the variables used in prior ARI career studies, (b) reviewing the Schroeder Career Trajectory Analysis Guidebook (Schroeder, 2024) to identify methods that require variables not yet in the ontology, and (c) consulting with sibling project teams to identify any unmet data requirements. Gaps identified during coverage assessment will be addressed in Phase 3 (FY29) ontology extension activities.</w:t>
      </w:r>
    </w:p>
    <w:p>
      <w:pPr>
        <w:pStyle w:val="Heading2"/>
        <w:jc w:val="left"/>
      </w:pPr>
      <w:r>
        <w:rPr>
          <w:rFonts w:ascii="Times New Roman" w:hAnsi="Times New Roman" w:cs="Times New Roman"/>
          <w:b/>
          <w:sz w:val="24"/>
          <w:color w:val="000000"/>
        </w:rPr>
        <w:t>Interoperability Testing</w:t>
      </w:r>
    </w:p>
    <w:p>
      <w:pPr>
        <w:spacing w:line="480" w:lineRule="auto"/>
      </w:pPr>
      <w:r>
        <w:t>Interoperability testing will verify that the ACSO can be cross-referenced with related ARI efforts. Specifically: (a) verify that career state concepts (e.g., Assignment, Position) can be linked to OTT occupational task concepts through shared properties; (b) verify that the Career Planning Profiler can query the ACSO to retrieve career state data for DAG node construction; (c) verify that the ACSO schema is compatible with the longitudinal career database architecture; and (d) verify that the unit context ontology's organizational concepts can be joined to ACSO assignment concepts. Interoperability test results will be documented in the Phase 3 deliverable.</w:t>
      </w:r>
    </w:p>
    <w:p>
      <w:pPr>
        <w:spacing w:line="480" w:lineRule="auto"/>
      </w:pPr>
      <w:r>
        <w:t>Each interoperability test will be executed against a versioned test harness in the Vantage-hosted development environment, with pass criteria defined before execution: a cross-reference test passes when the shared property yields a valid join on a stratified sample of assignment and task concepts, and a query test passes when the Profiler's representative DAG node queries return complete variable sets with source mappings. Test cases, execution logs, and results will be retained in the version control repository alongside the ontology so that the Phase 3 interoperability deliverable is reproducible.</w:t>
      </w:r>
    </w:p>
    <w:p>
      <w:pPr>
        <w:pStyle w:val="Heading1"/>
        <w:jc w:val="center"/>
      </w:pPr>
      <w:r>
        <w:rPr>
          <w:rFonts w:ascii="Times New Roman" w:hAnsi="Times New Roman" w:cs="Times New Roman"/>
          <w:b/>
          <w:sz w:val="24"/>
          <w:color w:val="000000"/>
        </w:rPr>
        <w:t>Expected Outcomes</w:t>
      </w:r>
    </w:p>
    <w:p>
      <w:pPr>
        <w:pStyle w:val="Heading2"/>
        <w:jc w:val="left"/>
      </w:pPr>
      <w:r>
        <w:rPr>
          <w:rFonts w:ascii="Times New Roman" w:hAnsi="Times New Roman" w:cs="Times New Roman"/>
          <w:b/>
          <w:sz w:val="24"/>
          <w:color w:val="000000"/>
        </w:rPr>
        <w:t>Primary Product</w:t>
      </w:r>
    </w:p>
    <w:p>
      <w:pPr>
        <w:spacing w:line="480" w:lineRule="auto"/>
      </w:pPr>
      <w:r>
        <w:t>The primary product of this research effort is an OWL-compliant Army Career State Ontology that formally defines the core variables constituting an Army officer's career state, the relationships among those variables, and the mappings from each variable to its source data location. The ontology will be hosted on the Vantage platform with supporting code managed in a Docker-based containerization approach (Slaughter et al., 2026).</w:t>
      </w:r>
    </w:p>
    <w:p>
      <w:pPr>
        <w:pStyle w:val="Heading2"/>
        <w:jc w:val="left"/>
      </w:pPr>
      <w:r>
        <w:rPr>
          <w:rFonts w:ascii="Times New Roman" w:hAnsi="Times New Roman" w:cs="Times New Roman"/>
          <w:b/>
          <w:sz w:val="24"/>
          <w:color w:val="000000"/>
        </w:rPr>
        <w:t>Documentation</w:t>
      </w:r>
    </w:p>
    <w:p>
      <w:pPr>
        <w:spacing w:line="480" w:lineRule="auto"/>
      </w:pPr>
      <w:r>
        <w:t>Comprehensive documentation will accompany the ontology, including: (a) the OWL ontology file with annotations and usage notes, (b) a data source mapping document specifying where each career state variable is stored, its format, and access procedures, (c) a competency question catalog with demonstrated answers, and (d) an ontology change log tracking the iterative refinement process.</w:t>
      </w:r>
    </w:p>
    <w:p>
      <w:pPr>
        <w:pStyle w:val="Heading2"/>
        <w:jc w:val="left"/>
      </w:pPr>
      <w:r>
        <w:rPr>
          <w:rFonts w:ascii="Times New Roman" w:hAnsi="Times New Roman" w:cs="Times New Roman"/>
          <w:b/>
          <w:sz w:val="24"/>
          <w:color w:val="000000"/>
        </w:rPr>
        <w:t>Foundation for Future Databases</w:t>
      </w:r>
    </w:p>
    <w:p>
      <w:pPr>
        <w:spacing w:line="480" w:lineRule="auto"/>
      </w:pPr>
      <w:r>
        <w:t>The ACSO will serve as the schema foundation for future career databases developed by ARI. By providing a machine-readable, formally validated ontology, the ACSO enables direct implementation of database schemas that inherit the ontology's class hierarchies, property definitions, and constraints, eliminating the need to design schemas from scratch for each new database product.</w:t>
      </w:r>
    </w:p>
    <w:p>
      <w:pPr>
        <w:pStyle w:val="Heading2"/>
        <w:jc w:val="left"/>
      </w:pPr>
      <w:r>
        <w:rPr>
          <w:rFonts w:ascii="Times New Roman" w:hAnsi="Times New Roman" w:cs="Times New Roman"/>
          <w:b/>
          <w:sz w:val="24"/>
          <w:color w:val="000000"/>
        </w:rPr>
        <w:t>TRL 4 Transition</w:t>
      </w:r>
    </w:p>
    <w:p>
      <w:pPr>
        <w:spacing w:line="480" w:lineRule="auto"/>
      </w:pPr>
      <w:r>
        <w:t>The project targets Technology Readiness Level (TRL) 4 by the fourth quarter of FY27, defined as the ontology integrated with the longitudinal career database in a laboratory environment. The transition partner is HRC-RD. The transition pathway involves: (a) demonstrating ontology-based data access across multiple Army HR data sources in a Vantage-hosted lab environment, (b) validating that the integrated system can answer competency questions from ARI researchers, and (c) documenting the transition package for HRC-RD review.</w:t>
      </w:r>
    </w:p>
    <w:p>
      <w:pPr>
        <w:spacing w:line="480" w:lineRule="auto"/>
      </w:pPr>
      <w:r>
        <w:t>The transition package delivered to HRC-RD will comprise the OWL 2 ontology file with annotations, the data source mapping document, the competency question catalog with demonstrated answers, the interoperability test results, and a maintenance memorandum describing the change control process for future variable additions. Packaging the ontology with its provenance documentation is intended to shorten HRC-RD's evaluation cycle and to make the basis for TRL 4 attainment transparent to the transition reviewer.</w:t>
      </w:r>
    </w:p>
    <w:p>
      <w:pPr>
        <w:pStyle w:val="Heading1"/>
        <w:jc w:val="center"/>
      </w:pPr>
      <w:r>
        <w:rPr>
          <w:rFonts w:ascii="Times New Roman" w:hAnsi="Times New Roman" w:cs="Times New Roman"/>
          <w:b/>
          <w:sz w:val="24"/>
          <w:color w:val="000000"/>
        </w:rPr>
        <w:t>Limitations and Ethical Considerations</w:t>
      </w:r>
    </w:p>
    <w:p>
      <w:pPr>
        <w:spacing w:line="480" w:lineRule="auto"/>
      </w:pPr>
      <w:r>
        <w:t>Several limitations should be noted regarding this research effort. First, data access constraints may limit the ontology's coverage. IPPS-A data accessibility for ARI research is currently uncertain; if access is denied or restricted, the ontology will document the data source and access requirements without populating instance data, enabling future extension when access becomes available.</w:t>
      </w:r>
    </w:p>
    <w:p>
      <w:pPr>
        <w:spacing w:line="480" w:lineRule="auto"/>
      </w:pPr>
      <w:r>
        <w:t>Second, the initial scope is limited to Army officers. While the ontology's class structure will be designed to accommodate enlisted and warrant officer career states in future extensions, the Phase 1 through Phase 3 activities will focus on officer-specific variables and data sources. Extension to additional populations is a candidate for future work beyond the FY27 through FY29 period.</w:t>
      </w:r>
    </w:p>
    <w:p>
      <w:pPr>
        <w:spacing w:line="480" w:lineRule="auto"/>
      </w:pPr>
      <w:r>
        <w:t>Third, ontology development is inherently iterative, and the ACSO will evolve through multiple refinement cycles. The ontology produced at the end of FY29 should be considered a mature version rather than a final one; ongoing maintenance will be required to accommodate changes in Army HR data systems, new career state variables identified through research, and evolving requirements from sibling projects.</w:t>
      </w:r>
    </w:p>
    <w:p>
      <w:pPr>
        <w:spacing w:line="480" w:lineRule="auto"/>
      </w:pPr>
      <w:r>
        <w:t>Fourth, OWL formalization introduces complexity that may constrain the ontology's practical usability for non-technical consumers. While OWL DL provides a balance between expressiveness and tractability, the ontology will need to be accompanied by user-friendly documentation and, potentially, simplified views for stakeholders who do not require the full formal semantics.</w:t>
      </w:r>
      <w:r>
        <w:t xml:space="preserve"> The OWL 2 tractable profiles mitigate this concern at the margin: for stakeholders who do not require full formal semantics, an EL- or RL-conformant view of the ontology can be exported that preserves the class hierarchy and property structure without the complete axiomatization (W3C, 2012).</w:t>
      </w:r>
    </w:p>
    <w:p>
      <w:pPr>
        <w:spacing w:line="480" w:lineRule="auto"/>
      </w:pPr>
      <w:r>
        <w:t>Ethical considerations for this effort center on the responsible handling of administrative personnel data. All career state data referenced by the ontology derive from existing Army systems of record; no new data collection from Soldiers is planned for Phases 1 through 3. Semantic validation activities involving expert reviewers (see Section 8.1) will be conducted under ARI's human research protections procedures, with a determination sought from the ARI Human Research Protection Program before any structured expert review is convened. Ontology instance data populated during interoperability testing will use de-identified records wherever feasible, and DODID-based matching for derived variables will occur only within the approved Vantage environment under existing data sharing agreements. Consistent with the exclusions documented in Section 6.4, security clearance adjudication data will not be represented beyond a placeholder property, and the ontology documentation will specify handling caveats for variables carrying elevated personally identifiable information sensitivity, such as deployment history derived from evaluation narratives.</w:t>
      </w:r>
    </w:p>
    <w:p>
      <w:pPr>
        <w:pStyle w:val="Heading1"/>
        <w:jc w:val="center"/>
      </w:pPr>
      <w:r>
        <w:rPr>
          <w:rFonts w:ascii="Times New Roman" w:hAnsi="Times New Roman" w:cs="Times New Roman"/>
          <w:b/>
          <w:sz w:val="24"/>
          <w:color w:val="000000"/>
        </w:rPr>
        <w:t>Timeline and Milestones</w:t>
      </w:r>
    </w:p>
    <w:p>
      <w:pPr>
        <w:spacing w:line="480" w:lineRule="auto"/>
      </w:pPr>
      <w:r>
        <w:t>The ACSO project is planned for FY27 Q1 through FY29 Q4, with three primary phases aligned to fiscal years. The following table summarizes the timeline, activities, and milestones:</w:t>
      </w:r>
    </w:p>
    <w:p>
      <w:pPr>
        <w:spacing w:before="240" w:after="0" w:line="480" w:lineRule="auto"/>
      </w:pPr>
      <w:r>
        <w:rPr>
          <w:rFonts w:ascii="Times New Roman" w:hAnsi="Times New Roman"/>
          <w:b/>
          <w:i w:val="0"/>
          <w:sz w:val="24"/>
        </w:rPr>
        <w:t>Table 3</w:t>
      </w:r>
    </w:p>
    <w:p>
      <w:pPr>
        <w:spacing w:before="0" w:after="80" w:line="480" w:lineRule="auto"/>
      </w:pPr>
      <w:r>
        <w:rPr>
          <w:rFonts w:ascii="Times New Roman" w:hAnsi="Times New Roman"/>
          <w:b w:val="0"/>
          <w:i/>
          <w:sz w:val="24"/>
        </w:rPr>
        <w:t>Project Timeline by Fiscal Year</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160"/>
        <w:gridCol w:w="2160"/>
        <w:gridCol w:w="2160"/>
        <w:gridCol w:w="2160"/>
      </w:tblGrid>
      <w:tr>
        <w:tc>
          <w:tcPr>
            <w:tcW w:type="dxa" w:w="2160"/>
            <w:tcBorders>
              <w:bottom w:val="single" w:sz="8" w:space="0" w:color="000000"/>
            </w:tcBorders>
          </w:tcPr>
          <w:p>
            <w:r>
              <w:rPr>
                <w:sz w:val="20"/>
              </w:rPr>
              <w:t>Fiscal Year</w:t>
            </w:r>
          </w:p>
        </w:tc>
        <w:tc>
          <w:tcPr>
            <w:tcW w:type="dxa" w:w="2160"/>
            <w:tcBorders>
              <w:bottom w:val="single" w:sz="8" w:space="0" w:color="000000"/>
            </w:tcBorders>
          </w:tcPr>
          <w:p>
            <w:r>
              <w:rPr>
                <w:sz w:val="20"/>
              </w:rPr>
              <w:t>Phase</w:t>
            </w:r>
          </w:p>
        </w:tc>
        <w:tc>
          <w:tcPr>
            <w:tcW w:type="dxa" w:w="2160"/>
            <w:tcBorders>
              <w:bottom w:val="single" w:sz="8" w:space="0" w:color="000000"/>
            </w:tcBorders>
          </w:tcPr>
          <w:p>
            <w:r>
              <w:rPr>
                <w:sz w:val="20"/>
              </w:rPr>
              <w:t>Key Activities</w:t>
            </w:r>
          </w:p>
        </w:tc>
        <w:tc>
          <w:tcPr>
            <w:tcW w:type="dxa" w:w="2160"/>
            <w:tcBorders>
              <w:bottom w:val="single" w:sz="8" w:space="0" w:color="000000"/>
            </w:tcBorders>
          </w:tcPr>
          <w:p>
            <w:r>
              <w:rPr>
                <w:sz w:val="20"/>
              </w:rPr>
              <w:t>Milestones/Deliverables</w:t>
            </w:r>
          </w:p>
        </w:tc>
      </w:tr>
      <w:tr>
        <w:tc>
          <w:tcPr>
            <w:tcW w:type="dxa" w:w="2160"/>
          </w:tcPr>
          <w:p>
            <w:r>
              <w:rPr>
                <w:sz w:val="20"/>
              </w:rPr>
              <w:t>FY27 (Q1-Q4)</w:t>
            </w:r>
          </w:p>
        </w:tc>
        <w:tc>
          <w:tcPr>
            <w:tcW w:type="dxa" w:w="2160"/>
          </w:tcPr>
          <w:p>
            <w:r>
              <w:rPr>
                <w:sz w:val="20"/>
              </w:rPr>
              <w:t>Literature review, data identification</w:t>
            </w:r>
          </w:p>
        </w:tc>
        <w:tc>
          <w:tcPr>
            <w:tcW w:type="dxa" w:w="2160"/>
          </w:tcPr>
          <w:p>
            <w:r>
              <w:rPr>
                <w:sz w:val="20"/>
              </w:rPr>
              <w:t>Review HR data sources; identify core career state variables; literature review; develop competency questions; evaluate existing ontologies for reuse; begin database investigations</w:t>
            </w:r>
          </w:p>
        </w:tc>
        <w:tc>
          <w:tcPr>
            <w:tcW w:type="dxa" w:w="2160"/>
          </w:tcPr>
          <w:p>
            <w:r>
              <w:rPr>
                <w:sz w:val="20"/>
              </w:rPr>
              <w:t>Draft variable inventory; competency question set; literature review summary</w:t>
            </w:r>
          </w:p>
        </w:tc>
      </w:tr>
      <w:tr>
        <w:tc>
          <w:tcPr>
            <w:tcW w:type="dxa" w:w="2160"/>
          </w:tcPr>
          <w:p>
            <w:r>
              <w:rPr>
                <w:sz w:val="20"/>
              </w:rPr>
              <w:t>FY28 (Q1-Q4)</w:t>
            </w:r>
          </w:p>
        </w:tc>
        <w:tc>
          <w:tcPr>
            <w:tcW w:type="dxa" w:w="2160"/>
          </w:tcPr>
          <w:p>
            <w:r>
              <w:rPr>
                <w:sz w:val="20"/>
              </w:rPr>
              <w:t>Database integration of core data elements</w:t>
            </w:r>
          </w:p>
        </w:tc>
        <w:tc>
          <w:tcPr>
            <w:tcW w:type="dxa" w:w="2160"/>
          </w:tcPr>
          <w:p>
            <w:r>
              <w:rPr>
                <w:sz w:val="20"/>
              </w:rPr>
              <w:t>Map variables to source databases; develop and formalize OWL ontology; iteratively refine through internal review and reasoner checking; coordinate with sibling efforts</w:t>
            </w:r>
          </w:p>
        </w:tc>
        <w:tc>
          <w:tcPr>
            <w:tcW w:type="dxa" w:w="2160"/>
          </w:tcPr>
          <w:p>
            <w:r>
              <w:rPr>
                <w:sz w:val="20"/>
              </w:rPr>
              <w:t>Draft OWL ontology; data source mapping document; TRL 4 milestone (4QFY27): ontology integrated with longitudinal DB in lab environment</w:t>
            </w:r>
          </w:p>
        </w:tc>
      </w:tr>
      <w:tr>
        <w:tc>
          <w:tcPr>
            <w:tcW w:type="dxa" w:w="2160"/>
          </w:tcPr>
          <w:p>
            <w:r>
              <w:rPr>
                <w:sz w:val="20"/>
              </w:rPr>
              <w:t>FY29 (Q1-Q4)</w:t>
            </w:r>
          </w:p>
        </w:tc>
        <w:tc>
          <w:tcPr>
            <w:tcW w:type="dxa" w:w="2160"/>
          </w:tcPr>
          <w:p>
            <w:r>
              <w:rPr>
                <w:sz w:val="20"/>
              </w:rPr>
              <w:t>Database extensions beyond core data elements</w:t>
            </w:r>
          </w:p>
        </w:tc>
        <w:tc>
          <w:tcPr>
            <w:tcW w:type="dxa" w:w="2160"/>
          </w:tcPr>
          <w:p>
            <w:r>
              <w:rPr>
                <w:sz w:val="20"/>
              </w:rPr>
              <w:t>Extend ontology beyond core variables; finalize documentation; interoperability testing with sibling projects; transition package preparation for HRC-RD</w:t>
            </w:r>
          </w:p>
        </w:tc>
        <w:tc>
          <w:tcPr>
            <w:tcW w:type="dxa" w:w="2160"/>
          </w:tcPr>
          <w:p>
            <w:r>
              <w:rPr>
                <w:sz w:val="20"/>
              </w:rPr>
              <w:t>Finalized ontology; complete documentation; interoperability test results; transition package</w:t>
            </w:r>
          </w:p>
        </w:tc>
      </w:tr>
    </w:tbl>
    <w:p>
      <w:pPr>
        <w:spacing w:before="40" w:after="240" w:line="480" w:lineRule="auto"/>
        <w:jc w:val="left"/>
      </w:pPr>
      <w:r>
        <w:rPr>
          <w:rFonts w:ascii="Times New Roman" w:hAnsi="Times New Roman"/>
          <w:i/>
          <w:sz w:val="20"/>
        </w:rPr>
        <w:t>Note.</w:t>
      </w:r>
      <w:r>
        <w:rPr>
          <w:rFonts w:ascii="Times New Roman" w:hAnsi="Times New Roman"/>
          <w:i w:val="0"/>
          <w:sz w:val="20"/>
        </w:rPr>
        <w:t xml:space="preserve"> TRL = Technology Readiness Level; Q = quarter; FY = fiscal year; OWL = Web Ontology Language; DB = database.</w:t>
      </w:r>
    </w:p>
    <w:p>
      <w:pPr>
        <w:spacing w:line="480" w:lineRule="auto"/>
      </w:pPr>
    </w:p>
    <w:p>
      <w:pPr>
        <w:pStyle w:val="Heading1"/>
        <w:jc w:val="center"/>
      </w:pPr>
      <w:r>
        <w:rPr>
          <w:rFonts w:ascii="Times New Roman" w:hAnsi="Times New Roman" w:cs="Times New Roman"/>
          <w:b/>
          <w:sz w:val="24"/>
          <w:color w:val="000000"/>
        </w:rPr>
        <w:t>Relationship to Sibling Projects</w:t>
      </w:r>
    </w:p>
    <w:p>
      <w:pPr>
        <w:spacing w:line="480" w:lineRule="auto"/>
      </w:pPr>
      <w:r>
        <w:t>The ACSO is one of several related efforts under the broader RP 1123 research program "Tools and Methods to Support Career Planning and Decision Support." The following table summarizes the relationships among these sibling projects:</w:t>
      </w:r>
    </w:p>
    <w:p>
      <w:pPr>
        <w:spacing w:before="240" w:after="0" w:line="480" w:lineRule="auto"/>
      </w:pPr>
      <w:r>
        <w:rPr>
          <w:rFonts w:ascii="Times New Roman" w:hAnsi="Times New Roman"/>
          <w:b/>
          <w:i w:val="0"/>
          <w:sz w:val="24"/>
        </w:rPr>
        <w:t>Table 4</w:t>
      </w:r>
    </w:p>
    <w:p>
      <w:pPr>
        <w:spacing w:before="0" w:after="80" w:line="480" w:lineRule="auto"/>
      </w:pPr>
      <w:r>
        <w:rPr>
          <w:rFonts w:ascii="Times New Roman" w:hAnsi="Times New Roman"/>
          <w:b w:val="0"/>
          <w:i/>
          <w:sz w:val="24"/>
        </w:rPr>
        <w:t>Relationship to Sibling Projects Under RP 1123</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880"/>
        <w:gridCol w:w="2880"/>
        <w:gridCol w:w="2880"/>
      </w:tblGrid>
      <w:tr>
        <w:tc>
          <w:tcPr>
            <w:tcW w:type="dxa" w:w="2880"/>
            <w:tcBorders>
              <w:bottom w:val="single" w:sz="8" w:space="0" w:color="000000"/>
            </w:tcBorders>
          </w:tcPr>
          <w:p>
            <w:r>
              <w:rPr>
                <w:sz w:val="20"/>
              </w:rPr>
              <w:t>Project</w:t>
            </w:r>
          </w:p>
        </w:tc>
        <w:tc>
          <w:tcPr>
            <w:tcW w:type="dxa" w:w="2880"/>
            <w:tcBorders>
              <w:bottom w:val="single" w:sz="8" w:space="0" w:color="000000"/>
            </w:tcBorders>
          </w:tcPr>
          <w:p>
            <w:r>
              <w:rPr>
                <w:sz w:val="20"/>
              </w:rPr>
              <w:t>Focus</w:t>
            </w:r>
          </w:p>
        </w:tc>
        <w:tc>
          <w:tcPr>
            <w:tcW w:type="dxa" w:w="2880"/>
            <w:tcBorders>
              <w:bottom w:val="single" w:sz="8" w:space="0" w:color="000000"/>
            </w:tcBorders>
          </w:tcPr>
          <w:p>
            <w:r>
              <w:rPr>
                <w:sz w:val="20"/>
              </w:rPr>
              <w:t>Relationship to ACSO</w:t>
            </w:r>
          </w:p>
        </w:tc>
      </w:tr>
      <w:tr>
        <w:tc>
          <w:tcPr>
            <w:tcW w:type="dxa" w:w="2880"/>
          </w:tcPr>
          <w:p>
            <w:r>
              <w:rPr>
                <w:sz w:val="20"/>
              </w:rPr>
              <w:t>OTT Data Collection</w:t>
            </w:r>
          </w:p>
        </w:tc>
        <w:tc>
          <w:tcPr>
            <w:tcW w:type="dxa" w:w="2880"/>
          </w:tcPr>
          <w:p>
            <w:r>
              <w:rPr>
                <w:sz w:val="20"/>
              </w:rPr>
              <w:t>PDE to OTT pipeline, OER narrative analysis at scale against the Occupational Task Taxonomy</w:t>
            </w:r>
          </w:p>
        </w:tc>
        <w:tc>
          <w:tcPr>
            <w:tcW w:type="dxa" w:w="2880"/>
          </w:tcPr>
          <w:p>
            <w:r>
              <w:rPr>
                <w:sz w:val="20"/>
              </w:rPr>
              <w:t>Model for ARI taxonomy/ontology construction on Vantage; ACSO adopts compatible platform conventions; cross-reference where career states overlap with occupational tasks</w:t>
            </w:r>
          </w:p>
        </w:tc>
      </w:tr>
      <w:tr>
        <w:tc>
          <w:tcPr>
            <w:tcW w:type="dxa" w:w="2880"/>
          </w:tcPr>
          <w:p>
            <w:r>
              <w:rPr>
                <w:sz w:val="20"/>
              </w:rPr>
              <w:t>Career Planning Profiler</w:t>
            </w:r>
          </w:p>
        </w:tc>
        <w:tc>
          <w:tcPr>
            <w:tcW w:type="dxa" w:w="2880"/>
          </w:tcPr>
          <w:p>
            <w:r>
              <w:rPr>
                <w:sz w:val="20"/>
              </w:rPr>
              <w:t>Counselor-facing career path recommendation tool (DAG, re-branching) for Active Duty officers</w:t>
            </w:r>
          </w:p>
        </w:tc>
        <w:tc>
          <w:tcPr>
            <w:tcW w:type="dxa" w:w="2880"/>
          </w:tcPr>
          <w:p>
            <w:r>
              <w:rPr>
                <w:sz w:val="20"/>
              </w:rPr>
              <w:t>Downstream consumer of ACSO; Profiler career state data requirements inform ACSO competency questions</w:t>
            </w:r>
          </w:p>
        </w:tc>
      </w:tr>
      <w:tr>
        <w:tc>
          <w:tcPr>
            <w:tcW w:type="dxa" w:w="2880"/>
          </w:tcPr>
          <w:p>
            <w:r>
              <w:rPr>
                <w:sz w:val="20"/>
              </w:rPr>
              <w:t>KSA-FOE</w:t>
            </w:r>
          </w:p>
        </w:tc>
        <w:tc>
          <w:tcPr>
            <w:tcW w:type="dxa" w:w="2880"/>
          </w:tcPr>
          <w:p>
            <w:r>
              <w:rPr>
                <w:sz w:val="20"/>
              </w:rPr>
              <w:t>Future skills forecasting for 2040 operating environment</w:t>
            </w:r>
          </w:p>
        </w:tc>
        <w:tc>
          <w:tcPr>
            <w:tcW w:type="dxa" w:w="2880"/>
          </w:tcPr>
          <w:p>
            <w:r>
              <w:rPr>
                <w:sz w:val="20"/>
              </w:rPr>
              <w:t>Future skills data may extend ACSO career state variables; potential cross-reference for forward-looking career planning</w:t>
            </w:r>
          </w:p>
        </w:tc>
      </w:tr>
      <w:tr>
        <w:tc>
          <w:tcPr>
            <w:tcW w:type="dxa" w:w="2880"/>
          </w:tcPr>
          <w:p>
            <w:r>
              <w:rPr>
                <w:sz w:val="20"/>
              </w:rPr>
              <w:t>Longitudinal Career Database</w:t>
            </w:r>
          </w:p>
        </w:tc>
        <w:tc>
          <w:tcPr>
            <w:tcW w:type="dxa" w:w="2880"/>
          </w:tcPr>
          <w:p>
            <w:r>
              <w:rPr>
                <w:sz w:val="20"/>
              </w:rPr>
              <w:t>Persistent integrated database for longitudinal career analysis</w:t>
            </w:r>
          </w:p>
        </w:tc>
        <w:tc>
          <w:tcPr>
            <w:tcW w:type="dxa" w:w="2880"/>
          </w:tcPr>
          <w:p>
            <w:r>
              <w:rPr>
                <w:sz w:val="20"/>
              </w:rPr>
              <w:t>ACSO is a required precursor; ontology defines the schema the database will implement; TRL 4 milestone requires integration</w:t>
            </w:r>
          </w:p>
        </w:tc>
      </w:tr>
      <w:tr>
        <w:tc>
          <w:tcPr>
            <w:tcW w:type="dxa" w:w="2880"/>
          </w:tcPr>
          <w:p>
            <w:r>
              <w:rPr>
                <w:sz w:val="20"/>
              </w:rPr>
              <w:t>Schroeder Guidebook</w:t>
            </w:r>
          </w:p>
        </w:tc>
        <w:tc>
          <w:tcPr>
            <w:tcW w:type="dxa" w:w="2880"/>
          </w:tcPr>
          <w:p>
            <w:r>
              <w:rPr>
                <w:sz w:val="20"/>
              </w:rPr>
              <w:t>375-page compendium of 23 career trajectory analysis methods</w:t>
            </w:r>
          </w:p>
        </w:tc>
        <w:tc>
          <w:tcPr>
            <w:tcW w:type="dxa" w:w="2880"/>
          </w:tcPr>
          <w:p>
            <w:r>
              <w:rPr>
                <w:sz w:val="20"/>
              </w:rPr>
              <w:t>Methods inform ACSO career state variable requirements; coverage assessment references Schroeder methods</w:t>
            </w:r>
          </w:p>
        </w:tc>
      </w:tr>
    </w:tbl>
    <w:p>
      <w:pPr>
        <w:spacing w:before="40" w:after="240" w:line="480" w:lineRule="auto"/>
        <w:jc w:val="left"/>
      </w:pPr>
      <w:r>
        <w:rPr>
          <w:rFonts w:ascii="Times New Roman" w:hAnsi="Times New Roman"/>
          <w:i/>
          <w:sz w:val="20"/>
        </w:rPr>
        <w:t>Note.</w:t>
      </w:r>
      <w:r>
        <w:rPr>
          <w:rFonts w:ascii="Times New Roman" w:hAnsi="Times New Roman"/>
          <w:i w:val="0"/>
          <w:sz w:val="20"/>
        </w:rPr>
        <w:t xml:space="preserve"> RP = research priority; OTT = Occupational Task Taxonomy; DAG = directed acyclic graph; ACSO = Army Career State Ontology; DB = database.</w:t>
      </w:r>
    </w:p>
    <w:p>
      <w:pPr>
        <w:spacing w:line="480" w:lineRule="auto"/>
      </w:pPr>
    </w:p>
    <w:p>
      <w:pPr>
        <w:pStyle w:val="Heading1"/>
        <w:jc w:val="center"/>
      </w:pPr>
      <w:r>
        <w:rPr>
          <w:rFonts w:ascii="Times New Roman" w:hAnsi="Times New Roman" w:cs="Times New Roman"/>
          <w:b/>
          <w:sz w:val="24"/>
          <w:color w:val="000000"/>
        </w:rPr>
        <w:t>References</w:t>
      </w:r>
    </w:p>
    <w:p>
      <w:pPr>
        <w:spacing w:line="480" w:lineRule="auto"/>
        <w:ind w:left="720" w:hanging="720"/>
      </w:pPr>
      <w:r>
        <w:rPr>
          <w:rFonts w:ascii="Times New Roman" w:hAnsi="Times New Roman"/>
          <w:i w:val="0"/>
          <w:iCs w:val="true"/>
          <w:sz w:val="24"/>
        </w:rPr>
        <w:t xml:space="preserve">Baader, F., Calvanese, D., McGuinness, D., Nardi, D., &amp; Patel-Schneider, P. F. (2003). </w:t>
      </w:r>
      <w:r>
        <w:rPr>
          <w:rFonts w:ascii="Times New Roman" w:hAnsi="Times New Roman"/>
          <w:i/>
          <w:sz w:val="24"/>
        </w:rPr>
        <w:t>The description logic handbook: Theory, implementation and applications</w:t>
      </w:r>
      <w:r>
        <w:rPr>
          <w:rFonts w:ascii="Times New Roman" w:hAnsi="Times New Roman"/>
          <w:i w:val="0"/>
          <w:sz w:val="24"/>
        </w:rPr>
        <w:t>. Cambridge University Press.</w:t>
      </w:r>
    </w:p>
    <w:p>
      <w:pPr>
        <w:spacing w:line="480" w:lineRule="auto"/>
        <w:ind w:left="720" w:hanging="720"/>
      </w:pPr>
      <w:r>
        <w:rPr>
          <w:rFonts w:ascii="Times New Roman" w:hAnsi="Times New Roman"/>
          <w:i w:val="0"/>
          <w:iCs w:val="true"/>
          <w:sz w:val="24"/>
        </w:rPr>
        <w:t xml:space="preserve">Berners-Lee, T., Hendler, J., &amp; Lassila, O. (2001). The Semantic Web. </w:t>
      </w:r>
      <w:r>
        <w:rPr>
          <w:rFonts w:ascii="Times New Roman" w:hAnsi="Times New Roman"/>
          <w:i/>
          <w:sz w:val="24"/>
        </w:rPr>
        <w:t>Scientific American, 284</w:t>
      </w:r>
      <w:r>
        <w:rPr>
          <w:rFonts w:ascii="Times New Roman" w:hAnsi="Times New Roman"/>
          <w:i w:val="0"/>
          <w:sz w:val="24"/>
        </w:rPr>
        <w:t>(5), 34-43. https://doi.org/10.1038/scientificamerican0501-34</w:t>
      </w:r>
    </w:p>
    <w:p>
      <w:pPr>
        <w:spacing w:line="480" w:lineRule="auto"/>
        <w:ind w:left="720" w:hanging="720"/>
      </w:pPr>
      <w:r>
        <w:t>Bizer, C., Cyganiak, R., Gau, T., Maresch, O., &amp; Schenk, M. (2009). Semantic Web Client Library. Freie Universitat Berlin.</w:t>
      </w:r>
    </w:p>
    <w:p>
      <w:pPr>
        <w:spacing w:line="480" w:lineRule="auto"/>
        <w:ind w:left="720" w:hanging="720"/>
      </w:pPr>
      <w:r>
        <w:t xml:space="preserve">Department of the Army. (2024). Department of the Army Pamphlet 600-3: Commissioned officer professional development and career management. U.S. Department of the Army.</w:t>
      </w:r>
    </w:p>
    <w:p>
      <w:pPr>
        <w:spacing w:line="480" w:lineRule="auto"/>
        <w:ind w:left="720" w:hanging="720"/>
      </w:pPr>
      <w:r>
        <w:t>DoD Chief Data Officer. (2020). Department of Defense Data Strategy: Unleashing data to advance the National Defense Strategy. U.S. Department of Defense.</w:t>
      </w:r>
    </w:p>
    <w:p>
      <w:pPr>
        <w:spacing w:line="480" w:lineRule="auto"/>
        <w:ind w:left="720" w:hanging="720"/>
      </w:pPr>
      <w:r>
        <w:rPr>
          <w:rFonts w:ascii="Times New Roman" w:hAnsi="Times New Roman"/>
          <w:i w:val="0"/>
          <w:iCs w:val="true"/>
          <w:sz w:val="24"/>
        </w:rPr>
        <w:t xml:space="preserve">Gangemi, A., Guarino, N., Masolo, C., Oltramari, A., &amp; Schneider, L. (2002). Sweetening ontologies with DOLCE. In A. Gangemi, N. Guarino, C. Masolo, &amp; A. Oltramari (Eds.), </w:t>
      </w:r>
      <w:r>
        <w:rPr>
          <w:rFonts w:ascii="Times New Roman" w:hAnsi="Times New Roman"/>
          <w:i w:val="0"/>
          <w:sz w:val="24"/>
        </w:rPr>
        <w:t xml:space="preserve"> (pp. 166-181). Springer. https://doi.org/10.1007/3-540-48005-4_18</w:t>
      </w:r>
    </w:p>
    <w:p>
      <w:pPr>
        <w:spacing w:line="480" w:lineRule="auto"/>
        <w:ind w:left="720" w:hanging="720"/>
      </w:pPr>
      <w:r>
        <w:rPr>
          <w:rFonts w:ascii="Times New Roman" w:hAnsi="Times New Roman"/>
          <w:i w:val="0"/>
          <w:iCs w:val="true"/>
          <w:sz w:val="24"/>
        </w:rPr>
        <w:t xml:space="preserve">Garcia-Sanchez, F., Fernandez-Breis, J. T., Castellanos-Nieves, D., Valencia-Garcia, R., &amp; Martinez-Bejar, R. (2009). Ontology-based human resource management for e-recruitment. </w:t>
      </w:r>
      <w:r>
        <w:rPr>
          <w:rFonts w:ascii="Times New Roman" w:hAnsi="Times New Roman"/>
          <w:i/>
          <w:sz w:val="24"/>
        </w:rPr>
        <w:t>International Journal of Metadata, Semantics and Ontologies, 4</w:t>
      </w:r>
      <w:r>
        <w:rPr>
          <w:rFonts w:ascii="Times New Roman" w:hAnsi="Times New Roman"/>
          <w:i w:val="0"/>
          <w:sz w:val="24"/>
        </w:rPr>
        <w:t>(3), 214-222.</w:t>
      </w:r>
    </w:p>
    <w:p>
      <w:pPr>
        <w:spacing w:line="480" w:lineRule="auto"/>
        <w:ind w:left="720" w:hanging="720"/>
      </w:pPr>
      <w:r>
        <w:rPr>
          <w:rFonts w:ascii="Times New Roman" w:hAnsi="Times New Roman"/>
          <w:i w:val="0"/>
          <w:iCs w:val="true"/>
          <w:sz w:val="24"/>
        </w:rPr>
        <w:t xml:space="preserve">Glimm, B., Horrocks, I., Motik, B., Stoilos, G., &amp; Wang, Z. (2014). HermiT: An OWL 2 reasoner. </w:t>
      </w:r>
      <w:r>
        <w:rPr>
          <w:rFonts w:ascii="Times New Roman" w:hAnsi="Times New Roman"/>
          <w:i/>
          <w:sz w:val="24"/>
        </w:rPr>
        <w:t>Journal of Automated Reasoning, 53</w:t>
      </w:r>
      <w:r>
        <w:rPr>
          <w:rFonts w:ascii="Times New Roman" w:hAnsi="Times New Roman"/>
          <w:i w:val="0"/>
          <w:sz w:val="24"/>
        </w:rPr>
        <w:t>(3), 245-269. https://doi.org/10.1007/s10817-014-9305-y</w:t>
      </w:r>
    </w:p>
    <w:p>
      <w:pPr>
        <w:spacing w:line="480" w:lineRule="auto"/>
        <w:ind w:left="720" w:hanging="720"/>
      </w:pPr>
      <w:r>
        <w:rPr>
          <w:rFonts w:ascii="Times New Roman" w:hAnsi="Times New Roman"/>
          <w:i w:val="0"/>
          <w:iCs w:val="true"/>
          <w:sz w:val="24"/>
        </w:rPr>
        <w:t xml:space="preserve">Gomez-Perez, A., Fernandez-Lopez, M., &amp; Corcho, O. (2004). </w:t>
      </w:r>
      <w:r>
        <w:rPr>
          <w:rFonts w:ascii="Times New Roman" w:hAnsi="Times New Roman"/>
          <w:i/>
          <w:sz w:val="24"/>
        </w:rPr>
        <w:t>Ontological engineering: With examples from the areas of knowledge management, e-commerce and the semantic web</w:t>
      </w:r>
      <w:r>
        <w:rPr>
          <w:rFonts w:ascii="Times New Roman" w:hAnsi="Times New Roman"/>
          <w:i w:val="0"/>
          <w:sz w:val="24"/>
        </w:rPr>
        <w:t>. Springer.</w:t>
      </w:r>
      <w:r>
        <w:rPr>
          <w:rFonts w:ascii="Times New Roman" w:hAnsi="Times New Roman"/>
          <w:i w:val="0"/>
          <w:sz w:val="24"/>
        </w:rPr>
      </w:r>
    </w:p>
    <w:p>
      <w:pPr>
        <w:spacing w:line="480" w:lineRule="auto"/>
        <w:ind w:left="720" w:hanging="720"/>
      </w:pPr>
      <w:r>
        <w:rPr>
          <w:rFonts w:ascii="Times New Roman" w:hAnsi="Times New Roman"/>
          <w:i w:val="0"/>
          <w:iCs w:val="true"/>
          <w:sz w:val="24"/>
        </w:rPr>
        <w:t xml:space="preserve">Gruber, T. R. (1993). A translation approach to portable ontology specifications. </w:t>
      </w:r>
      <w:r>
        <w:rPr>
          <w:rFonts w:ascii="Times New Roman" w:hAnsi="Times New Roman"/>
          <w:i/>
          <w:sz w:val="24"/>
        </w:rPr>
        <w:t>Knowledge Acquisition, 5</w:t>
      </w:r>
      <w:r>
        <w:rPr>
          <w:rFonts w:ascii="Times New Roman" w:hAnsi="Times New Roman"/>
          <w:i w:val="0"/>
          <w:sz w:val="24"/>
        </w:rPr>
        <w:t>(2), 199-220. https://doi.org/10.1006/knac.1993.1008</w:t>
      </w:r>
    </w:p>
    <w:p>
      <w:pPr>
        <w:spacing w:line="480" w:lineRule="auto"/>
        <w:ind w:left="720" w:hanging="720"/>
      </w:pPr>
      <w:r>
        <w:rPr>
          <w:rFonts w:ascii="Times New Roman" w:hAnsi="Times New Roman"/>
          <w:i w:val="0"/>
          <w:iCs w:val="true"/>
          <w:sz w:val="24"/>
        </w:rPr>
        <w:t>Grüninger, M., &amp; Fox, M. S. (1995). Methodology for the design and evaluation of ontologies. Proceedings of the Workshop on Basic Ontological Issues in Knowledge Sharing, IJCAI-95.</w:t>
      </w:r>
    </w:p>
    <w:p>
      <w:pPr>
        <w:spacing w:line="480" w:lineRule="auto"/>
        <w:ind w:left="720" w:hanging="720"/>
      </w:pPr>
      <w:r>
        <w:rPr>
          <w:rFonts w:ascii="Times New Roman" w:hAnsi="Times New Roman"/>
          <w:i w:val="0"/>
          <w:iCs w:val="true"/>
          <w:sz w:val="24"/>
        </w:rPr>
        <w:t xml:space="preserve">Guarino, N. (1998). </w:t>
      </w:r>
      <w:r>
        <w:rPr>
          <w:rFonts w:ascii="Times New Roman" w:hAnsi="Times New Roman"/>
          <w:i/>
          <w:sz w:val="24"/>
        </w:rPr>
        <w:t>Formal ontology in information systems</w:t>
      </w:r>
      <w:r>
        <w:rPr>
          <w:rFonts w:ascii="Times New Roman" w:hAnsi="Times New Roman"/>
          <w:i w:val="0"/>
          <w:sz w:val="24"/>
        </w:rPr>
        <w:t>. In N. Guarino (Ed.), Formal ontology in information systems (pp. 3-15). IOS Press.</w:t>
      </w:r>
      <w:r>
        <w:rPr>
          <w:rFonts w:ascii="Times New Roman" w:hAnsi="Times New Roman"/>
          <w:i w:val="0"/>
          <w:sz w:val="24"/>
        </w:rPr>
      </w:r>
    </w:p>
    <w:p>
      <w:pPr>
        <w:spacing w:line="480" w:lineRule="auto"/>
        <w:ind w:left="720" w:hanging="720"/>
      </w:pPr>
      <w:r>
        <w:rPr>
          <w:rFonts w:ascii="Times New Roman" w:hAnsi="Times New Roman"/>
          <w:i w:val="0"/>
          <w:iCs w:val="true"/>
          <w:sz w:val="24"/>
        </w:rPr>
        <w:t xml:space="preserve">Guarino, N., &amp; Welty, C. (2002). Evaluating ontological decisions with OntoClean. </w:t>
      </w:r>
      <w:r>
        <w:rPr>
          <w:rFonts w:ascii="Times New Roman" w:hAnsi="Times New Roman"/>
          <w:i/>
          <w:sz w:val="24"/>
        </w:rPr>
        <w:t>Communications of the ACM, 45</w:t>
      </w:r>
      <w:r>
        <w:rPr>
          <w:rFonts w:ascii="Times New Roman" w:hAnsi="Times New Roman"/>
          <w:i w:val="0"/>
          <w:sz w:val="24"/>
        </w:rPr>
        <w:t>(2), 61-65. https://doi.org/10.1145/503124.503150</w:t>
      </w:r>
    </w:p>
    <w:p>
      <w:pPr>
        <w:spacing w:line="480" w:lineRule="auto"/>
        <w:ind w:left="720" w:hanging="720"/>
      </w:pPr>
      <w:r>
        <w:rPr>
          <w:i w:val="0"/>
        </w:rPr>
        <w:t xml:space="preserve">Hall, D. T. (2004). The protean career: A quarter-century journey. </w:t>
      </w:r>
      <w:r>
        <w:rPr>
          <w:i/>
        </w:rPr>
        <w:t>Journal of Vocational Behavior, 65</w:t>
      </w:r>
      <w:r>
        <w:rPr>
          <w:i w:val="0"/>
        </w:rPr>
        <w:t>(1), 1-13. https://doi.org/10.1016/j.jvb.2004.06.006</w:t>
      </w:r>
    </w:p>
    <w:p>
      <w:pPr>
        <w:spacing w:line="480" w:lineRule="auto"/>
        <w:ind w:left="720" w:hanging="720"/>
      </w:pPr>
      <w:r>
        <w:rPr>
          <w:rFonts w:ascii="Times New Roman" w:hAnsi="Times New Roman"/>
          <w:i w:val="0"/>
          <w:iCs w:val="true"/>
          <w:sz w:val="24"/>
        </w:rPr>
        <w:t xml:space="preserve">Hedden, H. (2010). </w:t>
      </w:r>
      <w:r>
        <w:rPr>
          <w:rFonts w:ascii="Times New Roman" w:hAnsi="Times New Roman"/>
          <w:i/>
          <w:sz w:val="24"/>
        </w:rPr>
        <w:t>The accidental taxonomist</w:t>
      </w:r>
      <w:r>
        <w:rPr>
          <w:rFonts w:ascii="Times New Roman" w:hAnsi="Times New Roman"/>
          <w:i w:val="0"/>
          <w:sz w:val="24"/>
        </w:rPr>
        <w:t>. Information Today.</w:t>
      </w:r>
    </w:p>
    <w:p>
      <w:pPr>
        <w:spacing w:line="480" w:lineRule="auto"/>
        <w:ind w:left="720" w:hanging="720"/>
      </w:pPr>
      <w:r>
        <w:rPr>
          <w:rFonts w:ascii="Times New Roman" w:hAnsi="Times New Roman"/>
          <w:i w:val="0"/>
          <w:iCs w:val="true"/>
          <w:sz w:val="24"/>
        </w:rPr>
        <w:t xml:space="preserve">Horrocks, I., Patel-Schneider, P. F., &amp; van Harmelen, F. (2003). From SHIQ and RDF to OWL: The making of a Web Ontology Language. </w:t>
      </w:r>
      <w:r>
        <w:rPr>
          <w:rFonts w:ascii="Times New Roman" w:hAnsi="Times New Roman"/>
          <w:i/>
          <w:sz w:val="24"/>
        </w:rPr>
        <w:t>Journal of Web Semantics, 1</w:t>
      </w:r>
      <w:r>
        <w:rPr>
          <w:rFonts w:ascii="Times New Roman" w:hAnsi="Times New Roman"/>
          <w:i w:val="0"/>
          <w:sz w:val="24"/>
        </w:rPr>
        <w:t>(1), 7-26. https://doi.org/10.1016/j.websem.2003.07.001</w:t>
      </w:r>
    </w:p>
    <w:p>
      <w:pPr>
        <w:spacing w:line="480" w:lineRule="auto"/>
        <w:ind w:left="720" w:hanging="720"/>
      </w:pPr>
      <w:r>
        <w:t>HR-XML Consortium. (2010). HR-XML 3.0 specification. International Standards Organization.</w:t>
      </w:r>
    </w:p>
    <w:p>
      <w:pPr>
        <w:spacing w:line="480" w:lineRule="auto"/>
        <w:ind w:left="720" w:hanging="720"/>
      </w:pPr>
      <w:r>
        <w:t>National Center for O*NET Development. (2020). O*NET-SOC taxonomy. U.S. Department of Labor. https://www.onetcenter.org/taxonomy.html</w:t>
      </w:r>
    </w:p>
    <w:p>
      <w:pPr>
        <w:spacing w:line="480" w:lineRule="auto"/>
        <w:ind w:left="720" w:hanging="720"/>
      </w:pPr>
      <w:r>
        <w:t>Noy, N. F., &amp; McGuinness, D. L. (2001). Ontology development 101: A guide to creating your first ontology. Stanford Knowledge Systems Laboratory Technical Report KSL-01-05.</w:t>
      </w:r>
    </w:p>
    <w:p>
      <w:pPr>
        <w:spacing w:line="480" w:lineRule="auto"/>
        <w:ind w:left="720" w:hanging="720"/>
      </w:pPr>
      <w:r>
        <w:rPr>
          <w:rFonts w:ascii="Times New Roman" w:hAnsi="Times New Roman"/>
          <w:i w:val="0"/>
          <w:iCs w:val="true"/>
          <w:sz w:val="24"/>
        </w:rPr>
        <w:t xml:space="preserve">Poggi, A., Lembo, D., Calvanese, D., De Giacomo, G., Lenzerini, M., &amp; Rosati, R. (2008). Linking data to ontologies. </w:t>
      </w:r>
      <w:r>
        <w:rPr>
          <w:rFonts w:ascii="Times New Roman" w:hAnsi="Times New Roman"/>
          <w:i/>
          <w:sz w:val="24"/>
        </w:rPr>
        <w:t>Journal on Data Semantics, X</w:t>
      </w:r>
      <w:r>
        <w:rPr>
          <w:rFonts w:ascii="Times New Roman" w:hAnsi="Times New Roman"/>
          <w:i w:val="0"/>
          <w:sz w:val="24"/>
        </w:rPr>
        <w:t>, 133-173. https://doi.org/10.1007/978-3-540-77688-8_5</w:t>
      </w:r>
    </w:p>
    <w:p>
      <w:pPr>
        <w:spacing w:line="480" w:lineRule="auto"/>
        <w:ind w:left="720" w:hanging="720"/>
      </w:pPr>
      <w:r>
        <w:t>Royston, P., &amp; Glerum, D. (2023). Army talent attribute framework: FY23 annual update (Research Note No. 2023-11). U.S. Army Research Institute. https://apps.dtic.mil/sti/citations/AD1210090</w:t>
      </w:r>
    </w:p>
    <w:p>
      <w:pPr>
        <w:spacing w:line="480" w:lineRule="auto"/>
        <w:ind w:left="720" w:hanging="720"/>
      </w:pPr>
      <w:r>
        <w:t>Royston, P., Berger, C., &amp; Shaughnessy, S. (2022). Army talent attribute framework: A unified taxonomy of Army knowledge, skills, and abilities (Technical Report No. 1421). U.S. Army Research Institute.</w:t>
      </w:r>
    </w:p>
    <w:p>
      <w:pPr>
        <w:spacing w:line="480" w:lineRule="auto"/>
        <w:ind w:left="720" w:hanging="720"/>
      </w:pPr>
      <w:r>
        <w:rPr>
          <w:i w:val="0"/>
        </w:rPr>
        <w:t xml:space="preserve">Savickas, M. L. (2005). The theory and practice of career construction. In S. D. Brown &amp; R. W. Lent (Eds.), </w:t>
      </w:r>
      <w:r>
        <w:rPr>
          <w:i/>
        </w:rPr>
        <w:t>Career development and counseling: Putting theory and research to work</w:t>
      </w:r>
      <w:r>
        <w:rPr>
          <w:i w:val="0"/>
        </w:rPr>
        <w:t xml:space="preserve"> (pp. 42-70). Wiley.</w:t>
      </w:r>
    </w:p>
    <w:p>
      <w:pPr>
        <w:spacing w:line="480" w:lineRule="auto"/>
        <w:ind w:left="720" w:hanging="720"/>
      </w:pPr>
      <w:r>
        <w:rPr>
          <w:rFonts w:ascii="Times New Roman" w:hAnsi="Times New Roman"/>
          <w:i w:val="0"/>
          <w:iCs w:val="true"/>
          <w:sz w:val="24"/>
        </w:rPr>
        <w:t xml:space="preserve">Schein, E. H. (1996). Career anchors revisited: Implications for career development in the 21st century. </w:t>
      </w:r>
      <w:r>
        <w:rPr>
          <w:rFonts w:ascii="Times New Roman" w:hAnsi="Times New Roman"/>
          <w:i/>
          <w:sz w:val="24"/>
        </w:rPr>
        <w:t>Academy of Management Executive, 10</w:t>
      </w:r>
      <w:r>
        <w:rPr>
          <w:rFonts w:ascii="Times New Roman" w:hAnsi="Times New Roman"/>
          <w:i w:val="0"/>
          <w:sz w:val="24"/>
        </w:rPr>
        <w:t>(4), 80-88. https://doi.org/10.5465/ame.1996.3145317</w:t>
      </w:r>
    </w:p>
    <w:p>
      <w:pPr>
        <w:spacing w:line="480" w:lineRule="auto"/>
        <w:ind w:left="720" w:hanging="720"/>
      </w:pPr>
      <w:r>
        <w:t>Schroeder, A. D. (2024). Career trajectory analysis guidebook [Unpublished manuscript]. U.S. Army Research Institute.</w:t>
      </w:r>
    </w:p>
    <w:p>
      <w:pPr>
        <w:spacing w:line="480" w:lineRule="auto"/>
        <w:ind w:left="720" w:hanging="720"/>
      </w:pPr>
      <w:r>
        <w:rPr>
          <w:rFonts w:ascii="Times New Roman" w:hAnsi="Times New Roman"/>
          <w:i w:val="0"/>
          <w:iCs w:val="true"/>
          <w:sz w:val="24"/>
        </w:rPr>
        <w:t xml:space="preserve">Sirin, E., Parsia, B., Grau, B. C., Kalyanpur, A., &amp; Katz, Y. (2007). Pellet: A practical OWL-DL reasoner. </w:t>
      </w:r>
      <w:r>
        <w:rPr>
          <w:rFonts w:ascii="Times New Roman" w:hAnsi="Times New Roman"/>
          <w:i/>
          <w:sz w:val="24"/>
        </w:rPr>
        <w:t>Journal of Web Semantics, 5</w:t>
      </w:r>
      <w:r>
        <w:rPr>
          <w:rFonts w:ascii="Times New Roman" w:hAnsi="Times New Roman"/>
          <w:i w:val="0"/>
          <w:sz w:val="24"/>
        </w:rPr>
        <w:t>(2), 51-53. https://doi.org/10.1016/j.websem.2007.03.004</w:t>
      </w:r>
    </w:p>
    <w:p>
      <w:pPr>
        <w:spacing w:line="480" w:lineRule="auto"/>
        <w:ind w:left="720" w:hanging="720"/>
      </w:pPr>
      <w:r>
        <w:t>Slaughter, A., &amp; Lin, N. (2026). OTT data collection research plan (Technical Note No. 2026-09). U.S. Army Research Institute.</w:t>
      </w:r>
    </w:p>
    <w:p>
      <w:pPr>
        <w:spacing w:line="480" w:lineRule="auto"/>
        <w:ind w:left="720" w:hanging="720"/>
      </w:pPr>
      <w:r>
        <w:t>Slaughter, A., Lin, N., &amp; Lyndgaard, S. (2026). Army career state ontology development: Information paper. U.S. Army Research Institute.</w:t>
      </w:r>
    </w:p>
    <w:p>
      <w:pPr>
        <w:spacing w:line="480" w:lineRule="auto"/>
        <w:ind w:left="720" w:hanging="720"/>
      </w:pPr>
      <w:r>
        <w:rPr>
          <w:rFonts w:ascii="Times New Roman" w:hAnsi="Times New Roman"/>
          <w:i w:val="0"/>
          <w:iCs w:val="true"/>
          <w:sz w:val="24"/>
        </w:rPr>
        <w:t xml:space="preserve">Super, D. E. (1980). A life-span, life-space approach to career development. </w:t>
      </w:r>
      <w:r>
        <w:rPr>
          <w:rFonts w:ascii="Times New Roman" w:hAnsi="Times New Roman"/>
          <w:i/>
          <w:sz w:val="24"/>
        </w:rPr>
        <w:t>Journal of Vocational Behavior, 16</w:t>
      </w:r>
      <w:r>
        <w:rPr>
          <w:rFonts w:ascii="Times New Roman" w:hAnsi="Times New Roman"/>
          <w:i w:val="0"/>
          <w:sz w:val="24"/>
        </w:rPr>
        <w:t>(3), 282-298. https://doi.org/10.1016/0001-8791(80)90056-1</w:t>
      </w:r>
    </w:p>
    <w:p>
      <w:pPr>
        <w:spacing w:line="480" w:lineRule="auto"/>
        <w:ind w:left="720" w:hanging="720"/>
      </w:pPr>
      <w:r>
        <w:rPr>
          <w:rFonts w:ascii="Times New Roman" w:hAnsi="Times New Roman"/>
          <w:i w:val="0"/>
          <w:iCs w:val="true"/>
          <w:sz w:val="24"/>
        </w:rPr>
        <w:t xml:space="preserve">Uschold, M., &amp; Grüninger, M. (1996). Ontologies: Principles, methods and applications. </w:t>
      </w:r>
      <w:r>
        <w:rPr>
          <w:rFonts w:ascii="Times New Roman" w:hAnsi="Times New Roman"/>
          <w:i/>
          <w:sz w:val="24"/>
        </w:rPr>
        <w:t>Knowledge Engineering Review, 11</w:t>
      </w:r>
      <w:r>
        <w:rPr>
          <w:rFonts w:ascii="Times New Roman" w:hAnsi="Times New Roman"/>
          <w:i w:val="0"/>
          <w:sz w:val="24"/>
        </w:rPr>
        <w:t>(2), 93-136. https://doi.org/10.1017/S0269888900007797</w:t>
      </w:r>
    </w:p>
    <w:p>
      <w:pPr>
        <w:spacing w:line="480" w:lineRule="auto"/>
        <w:ind w:left="720" w:hanging="720"/>
      </w:pPr>
      <w:r>
        <w:rPr>
          <w:i w:val="0"/>
        </w:rP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w:t>
      </w:r>
      <w:r>
        <w:rPr>
          <w:i/>
        </w:rPr>
        <w:t>Scientific Data, 3</w:t>
      </w:r>
      <w:r>
        <w:rPr>
          <w:i w:val="0"/>
        </w:rPr>
        <w:t>, Article 160018. https://doi.org/10.1038/sdata.2016.18</w:t>
      </w:r>
    </w:p>
    <w:p>
      <w:pPr>
        <w:spacing w:line="480" w:lineRule="auto"/>
        <w:ind w:left="720" w:hanging="720"/>
      </w:pPr>
      <w:r>
        <w:t>World Wide Web Consortium. (2004). OWL Web Ontology Language overview. W3C Recommendation, February 10, 2004. https://www.w3.org/TR/owl-features/</w:t>
      </w:r>
    </w:p>
    <w:p>
      <w:pPr>
        <w:spacing w:line="480" w:lineRule="auto"/>
        <w:ind w:left="720" w:hanging="720"/>
      </w:pPr>
      <w:r>
        <w:rPr>
          <w:i w:val="0"/>
        </w:rPr>
        <w:t xml:space="preserve">World Wide Web Consortium. (2009). </w:t>
      </w:r>
      <w:r>
        <w:rPr>
          <w:i/>
        </w:rPr>
        <w:t>SKOS simple knowledge organization system reference</w:t>
      </w:r>
      <w:r>
        <w:rPr>
          <w:i w:val="0"/>
        </w:rPr>
        <w:t>. https://www.w3.org/TR/skos-reference/</w:t>
      </w:r>
    </w:p>
    <w:p>
      <w:pPr>
        <w:spacing w:line="480" w:lineRule="auto"/>
        <w:ind w:left="720" w:hanging="720"/>
      </w:pPr>
      <w:r>
        <w:rPr>
          <w:i w:val="0"/>
        </w:rPr>
        <w:t xml:space="preserve">World Wide Web Consortium. (2012). </w:t>
      </w:r>
      <w:r>
        <w:rPr>
          <w:i/>
        </w:rPr>
        <w:t>OWL 2 Web Ontology Language document overview</w:t>
      </w:r>
      <w:r>
        <w:rPr>
          <w:i w:val="0"/>
        </w:rPr>
        <w:t xml:space="preserve"> (2nd ed.). https://www.w3.org/TR/owl2-overview/</w:t>
      </w:r>
    </w:p>
    <w:p>
      <w:pPr>
        <w:pStyle w:val="Heading1"/>
        <w:jc w:val="center"/>
      </w:pPr>
      <w:r>
        <w:rPr>
          <w:rFonts w:ascii="Times New Roman" w:hAnsi="Times New Roman" w:cs="Times New Roman"/>
          <w:b/>
          <w:sz w:val="24"/>
          <w:color w:val="000000"/>
        </w:rPr>
        <w:t>Appendix A: Career State Variable Inventory</w:t>
      </w:r>
    </w:p>
    <w:p>
      <w:pPr>
        <w:spacing w:line="480" w:lineRule="auto"/>
      </w:pPr>
      <w:r>
        <w:t>The following table provides the initial inventory of career state variables identified from the info paper, quad chart, and career development literature. This inventory will be refined and expanded during Phase 1 (FY27) through data source investigation and literature review.</w:t>
      </w:r>
    </w:p>
    <w:p>
      <w:pPr>
        <w:spacing w:before="240" w:after="0" w:line="480" w:lineRule="auto"/>
      </w:pPr>
      <w:r>
        <w:rPr>
          <w:rFonts w:ascii="Times New Roman" w:hAnsi="Times New Roman"/>
          <w:b/>
          <w:i w:val="0"/>
          <w:sz w:val="24"/>
        </w:rPr>
        <w:t>Table 5</w:t>
      </w:r>
    </w:p>
    <w:p>
      <w:pPr>
        <w:spacing w:before="0" w:after="80" w:line="480" w:lineRule="auto"/>
      </w:pPr>
      <w:r>
        <w:rPr>
          <w:rFonts w:ascii="Times New Roman" w:hAnsi="Times New Roman"/>
          <w:b w:val="0"/>
          <w:i/>
          <w:sz w:val="24"/>
        </w:rPr>
        <w:t>Career State Variable Inventory</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1728"/>
        <w:gridCol w:w="1728"/>
        <w:gridCol w:w="1728"/>
        <w:gridCol w:w="1728"/>
        <w:gridCol w:w="1728"/>
      </w:tblGrid>
      <w:tr>
        <w:tc>
          <w:tcPr>
            <w:tcW w:type="dxa" w:w="1728"/>
            <w:tcBorders>
              <w:bottom w:val="single" w:sz="8" w:space="0" w:color="000000"/>
            </w:tcBorders>
          </w:tcPr>
          <w:p>
            <w:r>
              <w:rPr>
                <w:sz w:val="20"/>
              </w:rPr>
              <w:t>#</w:t>
            </w:r>
          </w:p>
        </w:tc>
        <w:tc>
          <w:tcPr>
            <w:tcW w:type="dxa" w:w="1728"/>
            <w:tcBorders>
              <w:bottom w:val="single" w:sz="8" w:space="0" w:color="000000"/>
            </w:tcBorders>
          </w:tcPr>
          <w:p>
            <w:r>
              <w:rPr>
                <w:sz w:val="20"/>
              </w:rPr>
              <w:t>Variable</w:t>
            </w:r>
          </w:p>
        </w:tc>
        <w:tc>
          <w:tcPr>
            <w:tcW w:type="dxa" w:w="1728"/>
            <w:tcBorders>
              <w:bottom w:val="single" w:sz="8" w:space="0" w:color="000000"/>
            </w:tcBorders>
          </w:tcPr>
          <w:p>
            <w:r>
              <w:rPr>
                <w:sz w:val="20"/>
              </w:rPr>
              <w:t>Category</w:t>
            </w:r>
          </w:p>
        </w:tc>
        <w:tc>
          <w:tcPr>
            <w:tcW w:type="dxa" w:w="1728"/>
            <w:tcBorders>
              <w:bottom w:val="single" w:sz="8" w:space="0" w:color="000000"/>
            </w:tcBorders>
          </w:tcPr>
          <w:p>
            <w:r>
              <w:rPr>
                <w:sz w:val="20"/>
              </w:rPr>
              <w:t>Data Source</w:t>
            </w:r>
          </w:p>
        </w:tc>
        <w:tc>
          <w:tcPr>
            <w:tcW w:type="dxa" w:w="1728"/>
            <w:tcBorders>
              <w:bottom w:val="single" w:sz="8" w:space="0" w:color="000000"/>
            </w:tcBorders>
          </w:tcPr>
          <w:p>
            <w:r>
              <w:rPr>
                <w:sz w:val="20"/>
              </w:rPr>
              <w:t>Status</w:t>
            </w:r>
          </w:p>
        </w:tc>
      </w:tr>
      <w:tr>
        <w:tc>
          <w:tcPr>
            <w:tcW w:type="dxa" w:w="1728"/>
          </w:tcPr>
          <w:p>
            <w:r>
              <w:rPr>
                <w:sz w:val="20"/>
              </w:rPr>
              <w:t>1</w:t>
            </w:r>
          </w:p>
        </w:tc>
        <w:tc>
          <w:tcPr>
            <w:tcW w:type="dxa" w:w="1728"/>
          </w:tcPr>
          <w:p>
            <w:r>
              <w:rPr>
                <w:sz w:val="20"/>
              </w:rPr>
              <w:t>Assignment Status (position, unit, location, duty type)</w:t>
            </w:r>
          </w:p>
        </w:tc>
        <w:tc>
          <w:tcPr>
            <w:tcW w:type="dxa" w:w="1728"/>
          </w:tcPr>
          <w:p>
            <w:r>
              <w:rPr>
                <w:sz w:val="20"/>
              </w:rPr>
              <w:t>Assignment</w:t>
            </w:r>
          </w:p>
        </w:tc>
        <w:tc>
          <w:tcPr>
            <w:tcW w:type="dxa" w:w="1728"/>
          </w:tcPr>
          <w:p>
            <w:r>
              <w:rPr>
                <w:sz w:val="20"/>
              </w:rPr>
              <w:t>ADP/PDE</w:t>
            </w:r>
          </w:p>
        </w:tc>
        <w:tc>
          <w:tcPr>
            <w:tcW w:type="dxa" w:w="1728"/>
          </w:tcPr>
          <w:p>
            <w:r>
              <w:rPr>
                <w:sz w:val="20"/>
              </w:rPr>
              <w:t>Core - identified</w:t>
            </w:r>
          </w:p>
        </w:tc>
      </w:tr>
      <w:tr>
        <w:tc>
          <w:tcPr>
            <w:tcW w:type="dxa" w:w="1728"/>
          </w:tcPr>
          <w:p>
            <w:r>
              <w:rPr>
                <w:sz w:val="20"/>
              </w:rPr>
              <w:t>2</w:t>
            </w:r>
          </w:p>
        </w:tc>
        <w:tc>
          <w:tcPr>
            <w:tcW w:type="dxa" w:w="1728"/>
          </w:tcPr>
          <w:p>
            <w:r>
              <w:rPr>
                <w:sz w:val="20"/>
              </w:rPr>
              <w:t>Rank (current grade, time in grade)</w:t>
            </w:r>
          </w:p>
        </w:tc>
        <w:tc>
          <w:tcPr>
            <w:tcW w:type="dxa" w:w="1728"/>
          </w:tcPr>
          <w:p>
            <w:r>
              <w:rPr>
                <w:sz w:val="20"/>
              </w:rPr>
              <w:t>Progression</w:t>
            </w:r>
          </w:p>
        </w:tc>
        <w:tc>
          <w:tcPr>
            <w:tcW w:type="dxa" w:w="1728"/>
          </w:tcPr>
          <w:p>
            <w:r>
              <w:rPr>
                <w:sz w:val="20"/>
              </w:rPr>
              <w:t>ADP/PDE, ORB</w:t>
            </w:r>
          </w:p>
        </w:tc>
        <w:tc>
          <w:tcPr>
            <w:tcW w:type="dxa" w:w="1728"/>
          </w:tcPr>
          <w:p>
            <w:r>
              <w:rPr>
                <w:sz w:val="20"/>
              </w:rPr>
              <w:t>Core - identified</w:t>
            </w:r>
          </w:p>
        </w:tc>
      </w:tr>
      <w:tr>
        <w:tc>
          <w:tcPr>
            <w:tcW w:type="dxa" w:w="1728"/>
          </w:tcPr>
          <w:p>
            <w:r>
              <w:rPr>
                <w:sz w:val="20"/>
              </w:rPr>
              <w:t>3</w:t>
            </w:r>
          </w:p>
        </w:tc>
        <w:tc>
          <w:tcPr>
            <w:tcW w:type="dxa" w:w="1728"/>
          </w:tcPr>
          <w:p>
            <w:r>
              <w:rPr>
                <w:sz w:val="20"/>
              </w:rPr>
              <w:t>Education &amp; Training Status (PME, civilian ed, certs)</w:t>
            </w:r>
          </w:p>
        </w:tc>
        <w:tc>
          <w:tcPr>
            <w:tcW w:type="dxa" w:w="1728"/>
          </w:tcPr>
          <w:p>
            <w:r>
              <w:rPr>
                <w:sz w:val="20"/>
              </w:rPr>
              <w:t>Development</w:t>
            </w:r>
          </w:p>
        </w:tc>
        <w:tc>
          <w:tcPr>
            <w:tcW w:type="dxa" w:w="1728"/>
          </w:tcPr>
          <w:p>
            <w:r>
              <w:rPr>
                <w:sz w:val="20"/>
              </w:rPr>
              <w:t>ORB, IPPS-A</w:t>
            </w:r>
          </w:p>
        </w:tc>
        <w:tc>
          <w:tcPr>
            <w:tcW w:type="dxa" w:w="1728"/>
          </w:tcPr>
          <w:p>
            <w:r>
              <w:rPr>
                <w:sz w:val="20"/>
              </w:rPr>
              <w:t>Core - identified</w:t>
            </w:r>
          </w:p>
        </w:tc>
      </w:tr>
      <w:tr>
        <w:tc>
          <w:tcPr>
            <w:tcW w:type="dxa" w:w="1728"/>
          </w:tcPr>
          <w:p>
            <w:r>
              <w:rPr>
                <w:sz w:val="20"/>
              </w:rPr>
              <w:t>4</w:t>
            </w:r>
          </w:p>
        </w:tc>
        <w:tc>
          <w:tcPr>
            <w:tcW w:type="dxa" w:w="1728"/>
          </w:tcPr>
          <w:p>
            <w:r>
              <w:rPr>
                <w:sz w:val="20"/>
              </w:rPr>
              <w:t>Deployment History (operational deployments, combat tours)</w:t>
            </w:r>
          </w:p>
        </w:tc>
        <w:tc>
          <w:tcPr>
            <w:tcW w:type="dxa" w:w="1728"/>
          </w:tcPr>
          <w:p>
            <w:r>
              <w:rPr>
                <w:sz w:val="20"/>
              </w:rPr>
              <w:t>Experience</w:t>
            </w:r>
          </w:p>
        </w:tc>
        <w:tc>
          <w:tcPr>
            <w:tcW w:type="dxa" w:w="1728"/>
          </w:tcPr>
          <w:p>
            <w:r>
              <w:rPr>
                <w:sz w:val="20"/>
              </w:rPr>
              <w:t>ADP/PDE (OER-derived)</w:t>
            </w:r>
          </w:p>
        </w:tc>
        <w:tc>
          <w:tcPr>
            <w:tcW w:type="dxa" w:w="1728"/>
          </w:tcPr>
          <w:p>
            <w:r>
              <w:rPr>
                <w:sz w:val="20"/>
              </w:rPr>
              <w:t>Core - identified</w:t>
            </w:r>
          </w:p>
        </w:tc>
      </w:tr>
      <w:tr>
        <w:tc>
          <w:tcPr>
            <w:tcW w:type="dxa" w:w="1728"/>
          </w:tcPr>
          <w:p>
            <w:r>
              <w:rPr>
                <w:sz w:val="20"/>
              </w:rPr>
              <w:t>5</w:t>
            </w:r>
          </w:p>
        </w:tc>
        <w:tc>
          <w:tcPr>
            <w:tcW w:type="dxa" w:w="1728"/>
          </w:tcPr>
          <w:p>
            <w:r>
              <w:rPr>
                <w:sz w:val="20"/>
              </w:rPr>
              <w:t>PME Completion (CCC, CGSC, SSC)</w:t>
            </w:r>
          </w:p>
        </w:tc>
        <w:tc>
          <w:tcPr>
            <w:tcW w:type="dxa" w:w="1728"/>
          </w:tcPr>
          <w:p>
            <w:r>
              <w:rPr>
                <w:sz w:val="20"/>
              </w:rPr>
              <w:t>Development</w:t>
            </w:r>
          </w:p>
        </w:tc>
        <w:tc>
          <w:tcPr>
            <w:tcW w:type="dxa" w:w="1728"/>
          </w:tcPr>
          <w:p>
            <w:r>
              <w:rPr>
                <w:sz w:val="20"/>
              </w:rPr>
              <w:t>ORB</w:t>
            </w:r>
          </w:p>
        </w:tc>
        <w:tc>
          <w:tcPr>
            <w:tcW w:type="dxa" w:w="1728"/>
          </w:tcPr>
          <w:p>
            <w:r>
              <w:rPr>
                <w:sz w:val="20"/>
              </w:rPr>
              <w:t>Core - identified</w:t>
            </w:r>
          </w:p>
        </w:tc>
      </w:tr>
      <w:tr>
        <w:tc>
          <w:tcPr>
            <w:tcW w:type="dxa" w:w="1728"/>
          </w:tcPr>
          <w:p>
            <w:r>
              <w:rPr>
                <w:sz w:val="20"/>
              </w:rPr>
              <w:t>6</w:t>
            </w:r>
          </w:p>
        </w:tc>
        <w:tc>
          <w:tcPr>
            <w:tcW w:type="dxa" w:w="1728"/>
          </w:tcPr>
          <w:p>
            <w:r>
              <w:rPr>
                <w:sz w:val="20"/>
              </w:rPr>
              <w:t>Branch Transfers (original/current branch, rebranching)</w:t>
            </w:r>
          </w:p>
        </w:tc>
        <w:tc>
          <w:tcPr>
            <w:tcW w:type="dxa" w:w="1728"/>
          </w:tcPr>
          <w:p>
            <w:r>
              <w:rPr>
                <w:sz w:val="20"/>
              </w:rPr>
              <w:t>Branch</w:t>
            </w:r>
          </w:p>
        </w:tc>
        <w:tc>
          <w:tcPr>
            <w:tcW w:type="dxa" w:w="1728"/>
          </w:tcPr>
          <w:p>
            <w:r>
              <w:rPr>
                <w:sz w:val="20"/>
              </w:rPr>
              <w:t>ORB</w:t>
            </w:r>
          </w:p>
        </w:tc>
        <w:tc>
          <w:tcPr>
            <w:tcW w:type="dxa" w:w="1728"/>
          </w:tcPr>
          <w:p>
            <w:r>
              <w:rPr>
                <w:sz w:val="20"/>
              </w:rPr>
              <w:t>Core - identified</w:t>
            </w:r>
          </w:p>
        </w:tc>
      </w:tr>
      <w:tr>
        <w:tc>
          <w:tcPr>
            <w:tcW w:type="dxa" w:w="1728"/>
          </w:tcPr>
          <w:p>
            <w:r>
              <w:rPr>
                <w:sz w:val="20"/>
              </w:rPr>
              <w:t>7</w:t>
            </w:r>
          </w:p>
        </w:tc>
        <w:tc>
          <w:tcPr>
            <w:tcW w:type="dxa" w:w="1728"/>
          </w:tcPr>
          <w:p>
            <w:r>
              <w:rPr>
                <w:sz w:val="20"/>
              </w:rPr>
              <w:t>Security Clearance</w:t>
            </w:r>
          </w:p>
        </w:tc>
        <w:tc>
          <w:tcPr>
            <w:tcW w:type="dxa" w:w="1728"/>
          </w:tcPr>
          <w:p>
            <w:r>
              <w:rPr>
                <w:sz w:val="20"/>
              </w:rPr>
              <w:t>Administrative</w:t>
            </w:r>
          </w:p>
        </w:tc>
        <w:tc>
          <w:tcPr>
            <w:tcW w:type="dxa" w:w="1728"/>
          </w:tcPr>
          <w:p>
            <w:r>
              <w:rPr>
                <w:sz w:val="20"/>
              </w:rPr>
              <w:t>IPPS-A</w:t>
            </w:r>
          </w:p>
        </w:tc>
        <w:tc>
          <w:tcPr>
            <w:tcW w:type="dxa" w:w="1728"/>
          </w:tcPr>
          <w:p>
            <w:r>
              <w:rPr>
                <w:sz w:val="20"/>
              </w:rPr>
              <w:t>Excluded (PII)</w:t>
            </w:r>
          </w:p>
        </w:tc>
      </w:tr>
      <w:tr>
        <w:tc>
          <w:tcPr>
            <w:tcW w:type="dxa" w:w="1728"/>
          </w:tcPr>
          <w:p>
            <w:r>
              <w:rPr>
                <w:sz w:val="20"/>
              </w:rPr>
              <w:t>8</w:t>
            </w:r>
          </w:p>
        </w:tc>
        <w:tc>
          <w:tcPr>
            <w:tcW w:type="dxa" w:w="1728"/>
          </w:tcPr>
          <w:p>
            <w:r>
              <w:rPr>
                <w:sz w:val="20"/>
              </w:rPr>
              <w:t>Career Stage (early, mid, senior)</w:t>
            </w:r>
          </w:p>
        </w:tc>
        <w:tc>
          <w:tcPr>
            <w:tcW w:type="dxa" w:w="1728"/>
          </w:tcPr>
          <w:p>
            <w:r>
              <w:rPr>
                <w:sz w:val="20"/>
              </w:rPr>
              <w:t>Progression</w:t>
            </w:r>
          </w:p>
        </w:tc>
        <w:tc>
          <w:tcPr>
            <w:tcW w:type="dxa" w:w="1728"/>
          </w:tcPr>
          <w:p>
            <w:r>
              <w:rPr>
                <w:sz w:val="20"/>
              </w:rPr>
              <w:t>Derived</w:t>
            </w:r>
          </w:p>
        </w:tc>
        <w:tc>
          <w:tcPr>
            <w:tcW w:type="dxa" w:w="1728"/>
          </w:tcPr>
          <w:p>
            <w:r>
              <w:rPr>
                <w:sz w:val="20"/>
              </w:rPr>
              <w:t>Candidate for FY27</w:t>
            </w:r>
          </w:p>
        </w:tc>
      </w:tr>
      <w:tr>
        <w:tc>
          <w:tcPr>
            <w:tcW w:type="dxa" w:w="1728"/>
          </w:tcPr>
          <w:p>
            <w:r>
              <w:rPr>
                <w:sz w:val="20"/>
              </w:rPr>
              <w:t>9</w:t>
            </w:r>
          </w:p>
        </w:tc>
        <w:tc>
          <w:tcPr>
            <w:tcW w:type="dxa" w:w="1728"/>
          </w:tcPr>
          <w:p>
            <w:r>
              <w:rPr>
                <w:sz w:val="20"/>
              </w:rPr>
              <w:t>Operational vs. Utilization Tour Balance</w:t>
            </w:r>
          </w:p>
        </w:tc>
        <w:tc>
          <w:tcPr>
            <w:tcW w:type="dxa" w:w="1728"/>
          </w:tcPr>
          <w:p>
            <w:r>
              <w:rPr>
                <w:sz w:val="20"/>
              </w:rPr>
              <w:t>Assignment</w:t>
            </w:r>
          </w:p>
        </w:tc>
        <w:tc>
          <w:tcPr>
            <w:tcW w:type="dxa" w:w="1728"/>
          </w:tcPr>
          <w:p>
            <w:r>
              <w:rPr>
                <w:sz w:val="20"/>
              </w:rPr>
              <w:t>ADP/PDE (derived)</w:t>
            </w:r>
          </w:p>
        </w:tc>
        <w:tc>
          <w:tcPr>
            <w:tcW w:type="dxa" w:w="1728"/>
          </w:tcPr>
          <w:p>
            <w:r>
              <w:rPr>
                <w:sz w:val="20"/>
              </w:rPr>
              <w:t>Candidate for FY27</w:t>
            </w:r>
          </w:p>
        </w:tc>
      </w:tr>
      <w:tr>
        <w:tc>
          <w:tcPr>
            <w:tcW w:type="dxa" w:w="1728"/>
          </w:tcPr>
          <w:p>
            <w:r>
              <w:rPr>
                <w:sz w:val="20"/>
              </w:rPr>
              <w:t>10</w:t>
            </w:r>
          </w:p>
        </w:tc>
        <w:tc>
          <w:tcPr>
            <w:tcW w:type="dxa" w:w="1728"/>
          </w:tcPr>
          <w:p>
            <w:r>
              <w:rPr>
                <w:sz w:val="20"/>
              </w:rPr>
              <w:t>Promotion History (dates, zones)</w:t>
            </w:r>
          </w:p>
        </w:tc>
        <w:tc>
          <w:tcPr>
            <w:tcW w:type="dxa" w:w="1728"/>
          </w:tcPr>
          <w:p>
            <w:r>
              <w:rPr>
                <w:sz w:val="20"/>
              </w:rPr>
              <w:t>Progression</w:t>
            </w:r>
          </w:p>
        </w:tc>
        <w:tc>
          <w:tcPr>
            <w:tcW w:type="dxa" w:w="1728"/>
          </w:tcPr>
          <w:p>
            <w:r>
              <w:rPr>
                <w:sz w:val="20"/>
              </w:rPr>
              <w:t>ORB, ADP/PDE</w:t>
            </w:r>
          </w:p>
        </w:tc>
        <w:tc>
          <w:tcPr>
            <w:tcW w:type="dxa" w:w="1728"/>
          </w:tcPr>
          <w:p>
            <w:r>
              <w:rPr>
                <w:sz w:val="20"/>
              </w:rPr>
              <w:t>Candidate for FY27</w:t>
            </w:r>
          </w:p>
        </w:tc>
      </w:tr>
      <w:tr>
        <w:tc>
          <w:tcPr>
            <w:tcW w:type="dxa" w:w="1728"/>
          </w:tcPr>
          <w:p>
            <w:r>
              <w:rPr>
                <w:sz w:val="20"/>
              </w:rPr>
              <w:t>11</w:t>
            </w:r>
          </w:p>
        </w:tc>
        <w:tc>
          <w:tcPr>
            <w:tcW w:type="dxa" w:w="1728"/>
          </w:tcPr>
          <w:p>
            <w:r>
              <w:rPr>
                <w:sz w:val="20"/>
              </w:rPr>
              <w:t>Command Assignments (type, duration)</w:t>
            </w:r>
          </w:p>
        </w:tc>
        <w:tc>
          <w:tcPr>
            <w:tcW w:type="dxa" w:w="1728"/>
          </w:tcPr>
          <w:p>
            <w:r>
              <w:rPr>
                <w:sz w:val="20"/>
              </w:rPr>
              <w:t>Assignment</w:t>
            </w:r>
          </w:p>
        </w:tc>
        <w:tc>
          <w:tcPr>
            <w:tcW w:type="dxa" w:w="1728"/>
          </w:tcPr>
          <w:p>
            <w:r>
              <w:rPr>
                <w:sz w:val="20"/>
              </w:rPr>
              <w:t>ADP/PDE</w:t>
            </w:r>
          </w:p>
        </w:tc>
        <w:tc>
          <w:tcPr>
            <w:tcW w:type="dxa" w:w="1728"/>
          </w:tcPr>
          <w:p>
            <w:r>
              <w:rPr>
                <w:sz w:val="20"/>
              </w:rPr>
              <w:t>Candidate for FY27</w:t>
            </w:r>
          </w:p>
        </w:tc>
      </w:tr>
      <w:tr>
        <w:tc>
          <w:tcPr>
            <w:tcW w:type="dxa" w:w="1728"/>
          </w:tcPr>
          <w:p>
            <w:r>
              <w:rPr>
                <w:sz w:val="20"/>
              </w:rPr>
              <w:t>12</w:t>
            </w:r>
          </w:p>
        </w:tc>
        <w:tc>
          <w:tcPr>
            <w:tcW w:type="dxa" w:w="1728"/>
          </w:tcPr>
          <w:p>
            <w:r>
              <w:rPr>
                <w:sz w:val="20"/>
              </w:rPr>
              <w:t>Awards and Decorations</w:t>
            </w:r>
          </w:p>
        </w:tc>
        <w:tc>
          <w:tcPr>
            <w:tcW w:type="dxa" w:w="1728"/>
          </w:tcPr>
          <w:p>
            <w:r>
              <w:rPr>
                <w:sz w:val="20"/>
              </w:rPr>
              <w:t>Recognition</w:t>
            </w:r>
          </w:p>
        </w:tc>
        <w:tc>
          <w:tcPr>
            <w:tcW w:type="dxa" w:w="1728"/>
          </w:tcPr>
          <w:p>
            <w:r>
              <w:rPr>
                <w:sz w:val="20"/>
              </w:rPr>
              <w:t>ADP/PDE</w:t>
            </w:r>
          </w:p>
        </w:tc>
        <w:tc>
          <w:tcPr>
            <w:tcW w:type="dxa" w:w="1728"/>
          </w:tcPr>
          <w:p>
            <w:r>
              <w:rPr>
                <w:sz w:val="20"/>
              </w:rPr>
              <w:t>Candidate for FY29</w:t>
            </w:r>
          </w:p>
        </w:tc>
      </w:tr>
      <w:tr>
        <w:tc>
          <w:tcPr>
            <w:tcW w:type="dxa" w:w="1728"/>
          </w:tcPr>
          <w:p>
            <w:r>
              <w:rPr>
                <w:sz w:val="20"/>
              </w:rPr>
              <w:t>13</w:t>
            </w:r>
          </w:p>
        </w:tc>
        <w:tc>
          <w:tcPr>
            <w:tcW w:type="dxa" w:w="1728"/>
          </w:tcPr>
          <w:p>
            <w:r>
              <w:rPr>
                <w:sz w:val="20"/>
              </w:rPr>
              <w:t>Counseling Records</w:t>
            </w:r>
          </w:p>
        </w:tc>
        <w:tc>
          <w:tcPr>
            <w:tcW w:type="dxa" w:w="1728"/>
          </w:tcPr>
          <w:p>
            <w:r>
              <w:rPr>
                <w:sz w:val="20"/>
              </w:rPr>
              <w:t>Development</w:t>
            </w:r>
          </w:p>
        </w:tc>
        <w:tc>
          <w:tcPr>
            <w:tcW w:type="dxa" w:w="1728"/>
          </w:tcPr>
          <w:p>
            <w:r>
              <w:rPr>
                <w:sz w:val="20"/>
              </w:rPr>
              <w:t>ADP/PDE</w:t>
            </w:r>
          </w:p>
        </w:tc>
        <w:tc>
          <w:tcPr>
            <w:tcW w:type="dxa" w:w="1728"/>
          </w:tcPr>
          <w:p>
            <w:r>
              <w:rPr>
                <w:sz w:val="20"/>
              </w:rPr>
              <w:t>Candidate for FY29</w:t>
            </w:r>
          </w:p>
        </w:tc>
      </w:tr>
      <w:tr>
        <w:tc>
          <w:tcPr>
            <w:tcW w:type="dxa" w:w="1728"/>
          </w:tcPr>
          <w:p>
            <w:r>
              <w:rPr>
                <w:sz w:val="20"/>
              </w:rPr>
              <w:t>14</w:t>
            </w:r>
          </w:p>
        </w:tc>
        <w:tc>
          <w:tcPr>
            <w:tcW w:type="dxa" w:w="1728"/>
          </w:tcPr>
          <w:p>
            <w:r>
              <w:rPr>
                <w:sz w:val="20"/>
              </w:rPr>
              <w:t>ATAF Talent Attributes (KSBs)</w:t>
            </w:r>
          </w:p>
        </w:tc>
        <w:tc>
          <w:tcPr>
            <w:tcW w:type="dxa" w:w="1728"/>
          </w:tcPr>
          <w:p>
            <w:r>
              <w:rPr>
                <w:sz w:val="20"/>
              </w:rPr>
              <w:t>Skills</w:t>
            </w:r>
          </w:p>
        </w:tc>
        <w:tc>
          <w:tcPr>
            <w:tcW w:type="dxa" w:w="1728"/>
          </w:tcPr>
          <w:p>
            <w:r>
              <w:rPr>
                <w:sz w:val="20"/>
              </w:rPr>
              <w:t>IPPS-A</w:t>
            </w:r>
          </w:p>
        </w:tc>
        <w:tc>
          <w:tcPr>
            <w:tcW w:type="dxa" w:w="1728"/>
          </w:tcPr>
          <w:p>
            <w:r>
              <w:rPr>
                <w:sz w:val="20"/>
              </w:rPr>
              <w:t>Candidate for FY29</w:t>
            </w:r>
          </w:p>
        </w:tc>
      </w:tr>
    </w:tbl>
    <w:p>
      <w:pPr>
        <w:spacing w:before="40" w:after="240" w:line="480" w:lineRule="auto"/>
        <w:jc w:val="left"/>
      </w:pPr>
      <w:r>
        <w:rPr>
          <w:rFonts w:ascii="Times New Roman" w:hAnsi="Times New Roman"/>
          <w:i/>
          <w:sz w:val="20"/>
        </w:rPr>
        <w:t>Note.</w:t>
      </w:r>
      <w:r>
        <w:rPr>
          <w:rFonts w:ascii="Times New Roman" w:hAnsi="Times New Roman"/>
          <w:i w:val="0"/>
          <w:sz w:val="20"/>
        </w:rPr>
        <w:t xml:space="preserve"> PME = professional military education; ATAF = Army Talent Attribute Framework; IPPS-A = Integrated Personnel and Pay System–Army; PDE = Person Data Environment (now ADP); KSBs = knowledge, skills, and behaviors.</w:t>
      </w:r>
    </w:p>
    <w:p>
      <w:pPr>
        <w:spacing w:line="480" w:lineRule="auto"/>
      </w:pPr>
    </w:p>
    <w:p>
      <w:pPr>
        <w:pStyle w:val="Heading1"/>
        <w:jc w:val="center"/>
      </w:pPr>
      <w:r>
        <w:rPr>
          <w:rFonts w:ascii="Times New Roman" w:hAnsi="Times New Roman" w:cs="Times New Roman"/>
          <w:b/>
          <w:sz w:val="24"/>
          <w:color w:val="000000"/>
        </w:rPr>
        <w:t>Appendix B: Data Source Mapping Matrix Template</w:t>
      </w:r>
    </w:p>
    <w:p>
      <w:pPr>
        <w:spacing w:line="480" w:lineRule="auto"/>
      </w:pPr>
      <w:r>
        <w:t>The following template will be used to document the mapping from each career state variable to its source database. The completed mapping will be a deliverable of Phase 1 (FY27).</w:t>
      </w:r>
    </w:p>
    <w:p>
      <w:pPr>
        <w:spacing w:before="240" w:after="0" w:line="480" w:lineRule="auto"/>
      </w:pPr>
      <w:r>
        <w:rPr>
          <w:rFonts w:ascii="Times New Roman" w:hAnsi="Times New Roman"/>
          <w:b/>
          <w:i w:val="0"/>
          <w:sz w:val="24"/>
        </w:rPr>
        <w:t>Table 6</w:t>
      </w:r>
    </w:p>
    <w:p>
      <w:pPr>
        <w:spacing w:before="0" w:after="80" w:line="480" w:lineRule="auto"/>
      </w:pPr>
      <w:r>
        <w:rPr>
          <w:rFonts w:ascii="Times New Roman" w:hAnsi="Times New Roman"/>
          <w:b w:val="0"/>
          <w:i/>
          <w:sz w:val="24"/>
        </w:rPr>
        <w:t>Data Source Mapping Matrix Template</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1440"/>
        <w:gridCol w:w="1440"/>
        <w:gridCol w:w="1440"/>
        <w:gridCol w:w="1440"/>
        <w:gridCol w:w="1440"/>
        <w:gridCol w:w="1440"/>
      </w:tblGrid>
      <w:tr>
        <w:tc>
          <w:tcPr>
            <w:tcW w:type="dxa" w:w="1440"/>
            <w:tcBorders>
              <w:bottom w:val="single" w:sz="8" w:space="0" w:color="000000"/>
            </w:tcBorders>
          </w:tcPr>
          <w:p>
            <w:r>
              <w:rPr>
                <w:sz w:val="20"/>
              </w:rPr>
              <w:t>Variable</w:t>
            </w:r>
          </w:p>
        </w:tc>
        <w:tc>
          <w:tcPr>
            <w:tcW w:type="dxa" w:w="1440"/>
            <w:tcBorders>
              <w:bottom w:val="single" w:sz="8" w:space="0" w:color="000000"/>
            </w:tcBorders>
          </w:tcPr>
          <w:p>
            <w:r>
              <w:rPr>
                <w:sz w:val="20"/>
              </w:rPr>
              <w:t>Source DB</w:t>
            </w:r>
          </w:p>
        </w:tc>
        <w:tc>
          <w:tcPr>
            <w:tcW w:type="dxa" w:w="1440"/>
            <w:tcBorders>
              <w:bottom w:val="single" w:sz="8" w:space="0" w:color="000000"/>
            </w:tcBorders>
          </w:tcPr>
          <w:p>
            <w:r>
              <w:rPr>
                <w:sz w:val="20"/>
              </w:rPr>
              <w:t>Table/Field</w:t>
            </w:r>
          </w:p>
        </w:tc>
        <w:tc>
          <w:tcPr>
            <w:tcW w:type="dxa" w:w="1440"/>
            <w:tcBorders>
              <w:bottom w:val="single" w:sz="8" w:space="0" w:color="000000"/>
            </w:tcBorders>
          </w:tcPr>
          <w:p>
            <w:r>
              <w:rPr>
                <w:sz w:val="20"/>
              </w:rPr>
              <w:t>Format</w:t>
            </w:r>
          </w:p>
        </w:tc>
        <w:tc>
          <w:tcPr>
            <w:tcW w:type="dxa" w:w="1440"/>
            <w:tcBorders>
              <w:bottom w:val="single" w:sz="8" w:space="0" w:color="000000"/>
            </w:tcBorders>
          </w:tcPr>
          <w:p>
            <w:r>
              <w:rPr>
                <w:sz w:val="20"/>
              </w:rPr>
              <w:t>Access Procedure</w:t>
            </w:r>
          </w:p>
        </w:tc>
        <w:tc>
          <w:tcPr>
            <w:tcW w:type="dxa" w:w="1440"/>
            <w:tcBorders>
              <w:bottom w:val="single" w:sz="8" w:space="0" w:color="000000"/>
            </w:tcBorders>
          </w:tcPr>
          <w:p>
            <w:r>
              <w:rPr>
                <w:sz w:val="20"/>
              </w:rPr>
              <w:t>Transformation</w:t>
            </w:r>
          </w:p>
        </w:tc>
      </w:tr>
      <w:tr>
        <w:tc>
          <w:tcPr>
            <w:tcW w:type="dxa" w:w="1440"/>
          </w:tcPr>
          <w:p>
            <w:r>
              <w:rPr>
                <w:sz w:val="20"/>
              </w:rPr>
              <w:t>Assignment Status</w:t>
            </w:r>
          </w:p>
        </w:tc>
        <w:tc>
          <w:tcPr>
            <w:tcW w:type="dxa" w:w="1440"/>
          </w:tcPr>
          <w:p>
            <w:r>
              <w:rPr>
                <w:sz w:val="20"/>
              </w:rPr>
              <w:t>ADP/PDE</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r>
        <w:tc>
          <w:tcPr>
            <w:tcW w:type="dxa" w:w="1440"/>
          </w:tcPr>
          <w:p>
            <w:r>
              <w:rPr>
                <w:sz w:val="20"/>
              </w:rPr>
              <w:t>Rank</w:t>
            </w:r>
          </w:p>
        </w:tc>
        <w:tc>
          <w:tcPr>
            <w:tcW w:type="dxa" w:w="1440"/>
          </w:tcPr>
          <w:p>
            <w:r>
              <w:rPr>
                <w:sz w:val="20"/>
              </w:rPr>
              <w:t>ADP/PDE, ORB</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r>
        <w:tc>
          <w:tcPr>
            <w:tcW w:type="dxa" w:w="1440"/>
          </w:tcPr>
          <w:p>
            <w:r>
              <w:rPr>
                <w:sz w:val="20"/>
              </w:rPr>
              <w:t>PME Completion</w:t>
            </w:r>
          </w:p>
        </w:tc>
        <w:tc>
          <w:tcPr>
            <w:tcW w:type="dxa" w:w="1440"/>
          </w:tcPr>
          <w:p>
            <w:r>
              <w:rPr>
                <w:sz w:val="20"/>
              </w:rPr>
              <w:t>ORB</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r>
        <w:tc>
          <w:tcPr>
            <w:tcW w:type="dxa" w:w="1440"/>
          </w:tcPr>
          <w:p>
            <w:r>
              <w:rPr>
                <w:sz w:val="20"/>
              </w:rPr>
              <w:t>Branch Transfers</w:t>
            </w:r>
          </w:p>
        </w:tc>
        <w:tc>
          <w:tcPr>
            <w:tcW w:type="dxa" w:w="1440"/>
          </w:tcPr>
          <w:p>
            <w:r>
              <w:rPr>
                <w:sz w:val="20"/>
              </w:rPr>
              <w:t>ORB</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r>
        <w:tc>
          <w:tcPr>
            <w:tcW w:type="dxa" w:w="1440"/>
          </w:tcPr>
          <w:p>
            <w:r>
              <w:rPr>
                <w:sz w:val="20"/>
              </w:rPr>
              <w:t>Deployment History</w:t>
            </w:r>
          </w:p>
        </w:tc>
        <w:tc>
          <w:tcPr>
            <w:tcW w:type="dxa" w:w="1440"/>
          </w:tcPr>
          <w:p>
            <w:r>
              <w:rPr>
                <w:sz w:val="20"/>
              </w:rPr>
              <w:t>ADP/PDE</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bl>
    <w:p>
      <w:pPr>
        <w:spacing w:before="40" w:after="240" w:line="480" w:lineRule="auto"/>
        <w:jc w:val="left"/>
      </w:pPr>
      <w:r>
        <w:rPr>
          <w:rFonts w:ascii="Times New Roman" w:hAnsi="Times New Roman"/>
          <w:i/>
          <w:sz w:val="20"/>
        </w:rPr>
        <w:t>Note.</w:t>
      </w:r>
      <w:r>
        <w:rPr>
          <w:rFonts w:ascii="Times New Roman" w:hAnsi="Times New Roman"/>
          <w:i w:val="0"/>
          <w:sz w:val="20"/>
        </w:rPr>
        <w:t xml:space="preserve"> TBD = to be determined; ADP = Army Data Platform; ORB = Officer Record Brief; PDE = Person Data Environment (now ADP).</w:t>
      </w:r>
    </w:p>
    <w:p>
      <w:pPr>
        <w:spacing w:line="480" w:lineRule="auto"/>
      </w:pPr>
    </w:p>
    <w:p>
      <w:pPr>
        <w:pStyle w:val="Heading1"/>
        <w:jc w:val="center"/>
      </w:pPr>
      <w:r>
        <w:rPr>
          <w:rFonts w:ascii="Times New Roman" w:hAnsi="Times New Roman" w:cs="Times New Roman"/>
          <w:b/>
          <w:sz w:val="24"/>
          <w:color w:val="000000"/>
        </w:rPr>
        <w:t>Appendix C: Ontology Concept Map</w:t>
      </w:r>
    </w:p>
    <w:p>
      <w:pPr>
        <w:spacing w:line="480" w:lineRule="auto"/>
      </w:pPr>
      <w:r>
        <w:t>The ontology concept map below, adapted from the ACSO quad chart (Slaughter et al., 2026), illustrates the interconnected career-related concepts that the ontology will formalize. The central node represents the individual officer career state, with radiating clusters representing administrative and organizational data (unit context, position, command), skills and qualifications (education, training, MOS, certifications), and performance and progression (rank, promotions, assignments, evaluation reports). The ACSO will formalize these concepts and their relationships as OWL classes, object properties, and data properties, providing the machine-readable schema that enables automated reasoning and data integration across the domains depicted.</w:t>
      </w:r>
    </w:p>
    <w:p>
      <w:pPr>
        <w:spacing w:line="480" w:lineRule="auto"/>
      </w:pPr>
      <w:r>
        <w:t>[Concept map diagram to be inserted from quad chart visualization. The diagram shows: central node = Individual Career State; purple/pink cluster = Administrative &amp; Organizational (Unit Context, Position, Command); light blue/teal cluster = Skills &amp; Qualifications (Education, Training, MOS, Certifications); orange/yellow cluster = Performance &amp; Progression (Rank, Promotions, Assignments, Evaluation Reports); grey lines = semantic relationships among variables.]</w:t>
      </w:r>
    </w:p>
    <w:p>
      <w:pPr>
        <w:pStyle w:val="Heading1"/>
        <w:jc w:val="center"/>
      </w:pPr>
      <w:r>
        <w:rPr>
          <w:rFonts w:ascii="Times New Roman" w:hAnsi="Times New Roman" w:cs="Times New Roman"/>
          <w:b/>
          <w:sz w:val="24"/>
          <w:color w:val="000000"/>
        </w:rPr>
        <w:t>Appendix D: Competency Question Catalog</w:t>
      </w:r>
    </w:p>
    <w:p>
      <w:pPr>
        <w:spacing w:line="480" w:lineRule="auto"/>
      </w:pPr>
      <w:r>
        <w:t>The following catalog lists the competency questions that the ACSO must answer, derived from the research questions, the Career Planning Profiler's data requirements, the coverage assessment against the Schroeder guidebook, and consultation with ARI researchers who would use the ontology to assemble career datasets. Each question will be formally tested during ontology validation; demonstrated answers constitute the pragmatic validation evidence described in Section 8.1.</w:t>
      </w:r>
    </w:p>
    <w:p>
      <w:pPr>
        <w:spacing w:before="240" w:after="0" w:line="480" w:lineRule="auto"/>
      </w:pPr>
      <w:r>
        <w:rPr>
          <w:rFonts w:ascii="Times New Roman" w:hAnsi="Times New Roman"/>
          <w:b/>
          <w:i w:val="0"/>
          <w:sz w:val="24"/>
        </w:rPr>
        <w:t>Table 7</w:t>
      </w:r>
    </w:p>
    <w:p>
      <w:pPr>
        <w:spacing w:before="0" w:after="80" w:line="480" w:lineRule="auto"/>
      </w:pPr>
      <w:r>
        <w:rPr>
          <w:rFonts w:ascii="Times New Roman" w:hAnsi="Times New Roman"/>
          <w:b w:val="0"/>
          <w:i/>
          <w:sz w:val="24"/>
        </w:rPr>
        <w:t>Competency Question Catalog</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160"/>
        <w:gridCol w:w="2160"/>
        <w:gridCol w:w="2160"/>
        <w:gridCol w:w="2160"/>
      </w:tblGrid>
      <w:tr>
        <w:tc>
          <w:tcPr>
            <w:tcW w:type="dxa" w:w="2160"/>
            <w:tcBorders>
              <w:bottom w:val="single" w:sz="8" w:space="0" w:color="000000"/>
            </w:tcBorders>
          </w:tcPr>
          <w:p>
            <w:r>
              <w:rPr>
                <w:sz w:val="20"/>
              </w:rPr>
            </w:r>
            <w:r>
              <w:rPr>
                <w:b/>
                <w:sz w:val="20"/>
              </w:rPr>
              <w:t>#</w:t>
            </w:r>
          </w:p>
        </w:tc>
        <w:tc>
          <w:tcPr>
            <w:tcW w:type="dxa" w:w="2160"/>
            <w:tcBorders>
              <w:bottom w:val="single" w:sz="8" w:space="0" w:color="000000"/>
            </w:tcBorders>
          </w:tcPr>
          <w:p>
            <w:r>
              <w:rPr>
                <w:sz w:val="20"/>
              </w:rPr>
            </w:r>
            <w:r>
              <w:rPr>
                <w:b/>
                <w:sz w:val="20"/>
              </w:rPr>
              <w:t>Competency Question</w:t>
            </w:r>
          </w:p>
        </w:tc>
        <w:tc>
          <w:tcPr>
            <w:tcW w:type="dxa" w:w="2160"/>
            <w:tcBorders>
              <w:bottom w:val="single" w:sz="8" w:space="0" w:color="000000"/>
            </w:tcBorders>
          </w:tcPr>
          <w:p>
            <w:r>
              <w:rPr>
                <w:sz w:val="20"/>
              </w:rPr>
            </w:r>
            <w:r>
              <w:rPr>
                <w:b/>
                <w:sz w:val="20"/>
              </w:rPr>
              <w:t>Source</w:t>
            </w:r>
          </w:p>
        </w:tc>
        <w:tc>
          <w:tcPr>
            <w:tcW w:type="dxa" w:w="2160"/>
            <w:tcBorders>
              <w:bottom w:val="single" w:sz="8" w:space="0" w:color="000000"/>
            </w:tcBorders>
          </w:tcPr>
          <w:p>
            <w:r>
              <w:rPr>
                <w:sz w:val="20"/>
              </w:rPr>
            </w:r>
            <w:r>
              <w:rPr>
                <w:b/>
                <w:sz w:val="20"/>
              </w:rPr>
              <w:t>Phase Validated</w:t>
            </w:r>
          </w:p>
        </w:tc>
      </w:tr>
      <w:tr>
        <w:tc>
          <w:tcPr>
            <w:tcW w:type="dxa" w:w="2160"/>
          </w:tcPr>
          <w:p>
            <w:r>
              <w:rPr>
                <w:sz w:val="20"/>
              </w:rPr>
            </w:r>
            <w:r>
              <w:rPr>
                <w:sz w:val="20"/>
              </w:rPr>
              <w:t>1</w:t>
            </w:r>
          </w:p>
        </w:tc>
        <w:tc>
          <w:tcPr>
            <w:tcW w:type="dxa" w:w="2160"/>
          </w:tcPr>
          <w:p>
            <w:r>
              <w:rPr>
                <w:sz w:val="20"/>
              </w:rPr>
            </w:r>
            <w:r>
              <w:rPr>
                <w:sz w:val="20"/>
              </w:rPr>
              <w:t>What is Officer X's career state at time T?</w:t>
            </w:r>
          </w:p>
        </w:tc>
        <w:tc>
          <w:tcPr>
            <w:tcW w:type="dxa" w:w="2160"/>
          </w:tcPr>
          <w:p>
            <w:r>
              <w:rPr>
                <w:sz w:val="20"/>
              </w:rPr>
            </w:r>
            <w:r>
              <w:rPr>
                <w:sz w:val="20"/>
              </w:rPr>
              <w:t>Research questions</w:t>
            </w:r>
          </w:p>
        </w:tc>
        <w:tc>
          <w:tcPr>
            <w:tcW w:type="dxa" w:w="2160"/>
          </w:tcPr>
          <w:p>
            <w:r>
              <w:rPr>
                <w:sz w:val="20"/>
              </w:rPr>
            </w:r>
            <w:r>
              <w:rPr>
                <w:sz w:val="20"/>
              </w:rPr>
              <w:t>FY28</w:t>
            </w:r>
          </w:p>
        </w:tc>
      </w:tr>
      <w:tr>
        <w:tc>
          <w:tcPr>
            <w:tcW w:type="dxa" w:w="2160"/>
          </w:tcPr>
          <w:p>
            <w:r>
              <w:rPr>
                <w:sz w:val="20"/>
              </w:rPr>
            </w:r>
            <w:r>
              <w:rPr>
                <w:sz w:val="20"/>
              </w:rPr>
              <w:t>2</w:t>
            </w:r>
          </w:p>
        </w:tc>
        <w:tc>
          <w:tcPr>
            <w:tcW w:type="dxa" w:w="2160"/>
          </w:tcPr>
          <w:p>
            <w:r>
              <w:rPr>
                <w:sz w:val="20"/>
              </w:rPr>
            </w:r>
            <w:r>
              <w:rPr>
                <w:sz w:val="20"/>
              </w:rPr>
              <w:t>Which officers have completed CGSC and are in operational assignments?</w:t>
            </w:r>
          </w:p>
        </w:tc>
        <w:tc>
          <w:tcPr>
            <w:tcW w:type="dxa" w:w="2160"/>
          </w:tcPr>
          <w:p>
            <w:r>
              <w:rPr>
                <w:sz w:val="20"/>
              </w:rPr>
            </w:r>
            <w:r>
              <w:rPr>
                <w:sz w:val="20"/>
              </w:rPr>
              <w:t>Research questions</w:t>
            </w:r>
          </w:p>
        </w:tc>
        <w:tc>
          <w:tcPr>
            <w:tcW w:type="dxa" w:w="2160"/>
          </w:tcPr>
          <w:p>
            <w:r>
              <w:rPr>
                <w:sz w:val="20"/>
              </w:rPr>
            </w:r>
            <w:r>
              <w:rPr>
                <w:sz w:val="20"/>
              </w:rPr>
              <w:t>FY28</w:t>
            </w:r>
          </w:p>
        </w:tc>
      </w:tr>
      <w:tr>
        <w:tc>
          <w:tcPr>
            <w:tcW w:type="dxa" w:w="2160"/>
          </w:tcPr>
          <w:p>
            <w:r>
              <w:rPr>
                <w:sz w:val="20"/>
              </w:rPr>
            </w:r>
            <w:r>
              <w:rPr>
                <w:sz w:val="20"/>
              </w:rPr>
              <w:t>3</w:t>
            </w:r>
          </w:p>
        </w:tc>
        <w:tc>
          <w:tcPr>
            <w:tcW w:type="dxa" w:w="2160"/>
          </w:tcPr>
          <w:p>
            <w:r>
              <w:rPr>
                <w:sz w:val="20"/>
              </w:rPr>
            </w:r>
            <w:r>
              <w:rPr>
                <w:sz w:val="20"/>
              </w:rPr>
              <w:t>What data source provides PME completion dates for a given officer?</w:t>
            </w:r>
          </w:p>
        </w:tc>
        <w:tc>
          <w:tcPr>
            <w:tcW w:type="dxa" w:w="2160"/>
          </w:tcPr>
          <w:p>
            <w:r>
              <w:rPr>
                <w:sz w:val="20"/>
              </w:rPr>
            </w:r>
            <w:r>
              <w:rPr>
                <w:sz w:val="20"/>
              </w:rPr>
              <w:t>Research questions</w:t>
            </w:r>
          </w:p>
        </w:tc>
        <w:tc>
          <w:tcPr>
            <w:tcW w:type="dxa" w:w="2160"/>
          </w:tcPr>
          <w:p>
            <w:r>
              <w:rPr>
                <w:sz w:val="20"/>
              </w:rPr>
            </w:r>
            <w:r>
              <w:rPr>
                <w:sz w:val="20"/>
              </w:rPr>
              <w:t>FY27</w:t>
            </w:r>
          </w:p>
        </w:tc>
      </w:tr>
      <w:tr>
        <w:tc>
          <w:tcPr>
            <w:tcW w:type="dxa" w:w="2160"/>
          </w:tcPr>
          <w:p>
            <w:r>
              <w:rPr>
                <w:sz w:val="20"/>
              </w:rPr>
            </w:r>
            <w:r>
              <w:rPr>
                <w:sz w:val="20"/>
              </w:rPr>
              <w:t>4</w:t>
            </w:r>
          </w:p>
        </w:tc>
        <w:tc>
          <w:tcPr>
            <w:tcW w:type="dxa" w:w="2160"/>
          </w:tcPr>
          <w:p>
            <w:r>
              <w:rPr>
                <w:sz w:val="20"/>
              </w:rPr>
            </w:r>
            <w:r>
              <w:rPr>
                <w:sz w:val="20"/>
              </w:rPr>
              <w:t>What variables define an officer's career state immediately following a branch transfer?</w:t>
            </w:r>
          </w:p>
        </w:tc>
        <w:tc>
          <w:tcPr>
            <w:tcW w:type="dxa" w:w="2160"/>
          </w:tcPr>
          <w:p>
            <w:r>
              <w:rPr>
                <w:sz w:val="20"/>
              </w:rPr>
            </w:r>
            <w:r>
              <w:rPr>
                <w:sz w:val="20"/>
              </w:rPr>
              <w:t>Research questions</w:t>
            </w:r>
          </w:p>
        </w:tc>
        <w:tc>
          <w:tcPr>
            <w:tcW w:type="dxa" w:w="2160"/>
          </w:tcPr>
          <w:p>
            <w:r>
              <w:rPr>
                <w:sz w:val="20"/>
              </w:rPr>
            </w:r>
            <w:r>
              <w:rPr>
                <w:sz w:val="20"/>
              </w:rPr>
              <w:t>FY28</w:t>
            </w:r>
          </w:p>
        </w:tc>
      </w:tr>
      <w:tr>
        <w:tc>
          <w:tcPr>
            <w:tcW w:type="dxa" w:w="2160"/>
          </w:tcPr>
          <w:p>
            <w:r>
              <w:rPr>
                <w:sz w:val="20"/>
              </w:rPr>
            </w:r>
            <w:r>
              <w:rPr>
                <w:sz w:val="20"/>
              </w:rPr>
              <w:t>5</w:t>
            </w:r>
          </w:p>
        </w:tc>
        <w:tc>
          <w:tcPr>
            <w:tcW w:type="dxa" w:w="2160"/>
          </w:tcPr>
          <w:p>
            <w:r>
              <w:rPr>
                <w:sz w:val="20"/>
              </w:rPr>
            </w:r>
            <w:r>
              <w:rPr>
                <w:sz w:val="20"/>
              </w:rPr>
              <w:t>Which officers have deployment history derivable from evaluation narratives, and what is the derived count?</w:t>
            </w:r>
          </w:p>
        </w:tc>
        <w:tc>
          <w:tcPr>
            <w:tcW w:type="dxa" w:w="2160"/>
          </w:tcPr>
          <w:p>
            <w:r>
              <w:rPr>
                <w:sz w:val="20"/>
              </w:rPr>
            </w:r>
            <w:r>
              <w:rPr>
                <w:sz w:val="20"/>
              </w:rPr>
              <w:t>Research questions</w:t>
            </w:r>
          </w:p>
        </w:tc>
        <w:tc>
          <w:tcPr>
            <w:tcW w:type="dxa" w:w="2160"/>
          </w:tcPr>
          <w:p>
            <w:r>
              <w:rPr>
                <w:sz w:val="20"/>
              </w:rPr>
            </w:r>
            <w:r>
              <w:rPr>
                <w:sz w:val="20"/>
              </w:rPr>
              <w:t>FY28</w:t>
            </w:r>
          </w:p>
        </w:tc>
      </w:tr>
      <w:tr>
        <w:tc>
          <w:tcPr>
            <w:tcW w:type="dxa" w:w="2160"/>
          </w:tcPr>
          <w:p>
            <w:r>
              <w:rPr>
                <w:sz w:val="20"/>
              </w:rPr>
            </w:r>
            <w:r>
              <w:rPr>
                <w:sz w:val="20"/>
              </w:rPr>
              <w:t>6</w:t>
            </w:r>
          </w:p>
        </w:tc>
        <w:tc>
          <w:tcPr>
            <w:tcW w:type="dxa" w:w="2160"/>
          </w:tcPr>
          <w:p>
            <w:r>
              <w:rPr>
                <w:sz w:val="20"/>
              </w:rPr>
            </w:r>
            <w:r>
              <w:rPr>
                <w:sz w:val="20"/>
              </w:rPr>
              <w:t>Given a Profiler DAG node requiring rank, PME status, and assignment type, can the ontology return all constituent variables with their source mappings?</w:t>
            </w:r>
          </w:p>
        </w:tc>
        <w:tc>
          <w:tcPr>
            <w:tcW w:type="dxa" w:w="2160"/>
          </w:tcPr>
          <w:p>
            <w:r>
              <w:rPr>
                <w:sz w:val="20"/>
              </w:rPr>
            </w:r>
            <w:r>
              <w:rPr>
                <w:sz w:val="20"/>
              </w:rPr>
              <w:t>Profiler requirements</w:t>
            </w:r>
          </w:p>
        </w:tc>
        <w:tc>
          <w:tcPr>
            <w:tcW w:type="dxa" w:w="2160"/>
          </w:tcPr>
          <w:p>
            <w:r>
              <w:rPr>
                <w:sz w:val="20"/>
              </w:rPr>
            </w:r>
            <w:r>
              <w:rPr>
                <w:sz w:val="20"/>
              </w:rPr>
              <w:t>FY28-FY29</w:t>
            </w:r>
          </w:p>
        </w:tc>
      </w:tr>
      <w:tr>
        <w:tc>
          <w:tcPr>
            <w:tcW w:type="dxa" w:w="2160"/>
          </w:tcPr>
          <w:p>
            <w:r>
              <w:rPr>
                <w:sz w:val="20"/>
              </w:rPr>
            </w:r>
            <w:r>
              <w:rPr>
                <w:sz w:val="20"/>
              </w:rPr>
              <w:t>7</w:t>
            </w:r>
          </w:p>
        </w:tc>
        <w:tc>
          <w:tcPr>
            <w:tcW w:type="dxa" w:w="2160"/>
          </w:tcPr>
          <w:p>
            <w:r>
              <w:rPr>
                <w:sz w:val="20"/>
              </w:rPr>
            </w:r>
            <w:r>
              <w:rPr>
                <w:sz w:val="20"/>
              </w:rPr>
              <w:t>Can the Profiler retrieve rebranching eligibility variables (original branch, current branch, rebranching events) in a single query?</w:t>
            </w:r>
          </w:p>
        </w:tc>
        <w:tc>
          <w:tcPr>
            <w:tcW w:type="dxa" w:w="2160"/>
          </w:tcPr>
          <w:p>
            <w:r>
              <w:rPr>
                <w:sz w:val="20"/>
              </w:rPr>
            </w:r>
            <w:r>
              <w:rPr>
                <w:sz w:val="20"/>
              </w:rPr>
              <w:t>Profiler requirements</w:t>
            </w:r>
          </w:p>
        </w:tc>
        <w:tc>
          <w:tcPr>
            <w:tcW w:type="dxa" w:w="2160"/>
          </w:tcPr>
          <w:p>
            <w:r>
              <w:rPr>
                <w:sz w:val="20"/>
              </w:rPr>
            </w:r>
            <w:r>
              <w:rPr>
                <w:sz w:val="20"/>
              </w:rPr>
              <w:t>FY28</w:t>
            </w:r>
          </w:p>
        </w:tc>
      </w:tr>
      <w:tr>
        <w:tc>
          <w:tcPr>
            <w:tcW w:type="dxa" w:w="2160"/>
          </w:tcPr>
          <w:p>
            <w:r>
              <w:rPr>
                <w:sz w:val="20"/>
              </w:rPr>
            </w:r>
            <w:r>
              <w:rPr>
                <w:sz w:val="20"/>
              </w:rPr>
              <w:t>8</w:t>
            </w:r>
          </w:p>
        </w:tc>
        <w:tc>
          <w:tcPr>
            <w:tcW w:type="dxa" w:w="2160"/>
          </w:tcPr>
          <w:p>
            <w:r>
              <w:rPr>
                <w:sz w:val="20"/>
              </w:rPr>
            </w:r>
            <w:r>
              <w:rPr>
                <w:sz w:val="20"/>
              </w:rPr>
              <w:t>Which career state variables required by Schroeder guidebook methods are not yet formalized in the ontology?</w:t>
            </w:r>
          </w:p>
        </w:tc>
        <w:tc>
          <w:tcPr>
            <w:tcW w:type="dxa" w:w="2160"/>
          </w:tcPr>
          <w:p>
            <w:r>
              <w:rPr>
                <w:sz w:val="20"/>
              </w:rPr>
            </w:r>
            <w:r>
              <w:rPr>
                <w:sz w:val="20"/>
              </w:rPr>
              <w:t>Coverage assessment</w:t>
            </w:r>
          </w:p>
        </w:tc>
        <w:tc>
          <w:tcPr>
            <w:tcW w:type="dxa" w:w="2160"/>
          </w:tcPr>
          <w:p>
            <w:r>
              <w:rPr>
                <w:sz w:val="20"/>
              </w:rPr>
            </w:r>
            <w:r>
              <w:rPr>
                <w:sz w:val="20"/>
              </w:rPr>
              <w:t>FY29</w:t>
            </w:r>
          </w:p>
        </w:tc>
      </w:tr>
      <w:tr>
        <w:tc>
          <w:tcPr>
            <w:tcW w:type="dxa" w:w="2160"/>
          </w:tcPr>
          <w:p>
            <w:r>
              <w:rPr>
                <w:sz w:val="20"/>
              </w:rPr>
            </w:r>
            <w:r>
              <w:rPr>
                <w:sz w:val="20"/>
              </w:rPr>
              <w:t>9</w:t>
            </w:r>
          </w:p>
        </w:tc>
        <w:tc>
          <w:tcPr>
            <w:tcW w:type="dxa" w:w="2160"/>
          </w:tcPr>
          <w:p>
            <w:r>
              <w:rPr>
                <w:sz w:val="20"/>
              </w:rPr>
            </w:r>
            <w:r>
              <w:rPr>
                <w:sz w:val="20"/>
              </w:rPr>
              <w:t>Can an OTT task concept be joined to an ACSO assignment concept through shared position properties?</w:t>
            </w:r>
          </w:p>
        </w:tc>
        <w:tc>
          <w:tcPr>
            <w:tcW w:type="dxa" w:w="2160"/>
          </w:tcPr>
          <w:p>
            <w:r>
              <w:rPr>
                <w:sz w:val="20"/>
              </w:rPr>
            </w:r>
            <w:r>
              <w:rPr>
                <w:sz w:val="20"/>
              </w:rPr>
              <w:t>Interoperability testing</w:t>
            </w:r>
          </w:p>
        </w:tc>
        <w:tc>
          <w:tcPr>
            <w:tcW w:type="dxa" w:w="2160"/>
          </w:tcPr>
          <w:p>
            <w:r>
              <w:rPr>
                <w:sz w:val="20"/>
              </w:rPr>
            </w:r>
            <w:r>
              <w:rPr>
                <w:sz w:val="20"/>
              </w:rPr>
              <w:t>FY29</w:t>
            </w:r>
          </w:p>
        </w:tc>
      </w:tr>
      <w:tr>
        <w:tc>
          <w:tcPr>
            <w:tcW w:type="dxa" w:w="2160"/>
          </w:tcPr>
          <w:p>
            <w:r>
              <w:rPr>
                <w:sz w:val="20"/>
              </w:rPr>
            </w:r>
            <w:r>
              <w:rPr>
                <w:sz w:val="20"/>
              </w:rPr>
              <w:t>10</w:t>
            </w:r>
          </w:p>
        </w:tc>
        <w:tc>
          <w:tcPr>
            <w:tcW w:type="dxa" w:w="2160"/>
          </w:tcPr>
          <w:p>
            <w:r>
              <w:rPr>
                <w:sz w:val="20"/>
              </w:rPr>
            </w:r>
            <w:r>
              <w:rPr>
                <w:sz w:val="20"/>
              </w:rPr>
              <w:t>Does the ontology schema map onto the longitudinal career database tables without lossy transformation?</w:t>
            </w:r>
          </w:p>
        </w:tc>
        <w:tc>
          <w:tcPr>
            <w:tcW w:type="dxa" w:w="2160"/>
          </w:tcPr>
          <w:p>
            <w:r>
              <w:rPr>
                <w:sz w:val="20"/>
              </w:rPr>
            </w:r>
            <w:r>
              <w:rPr>
                <w:sz w:val="20"/>
              </w:rPr>
              <w:t>Interoperability testing</w:t>
            </w:r>
          </w:p>
        </w:tc>
        <w:tc>
          <w:tcPr>
            <w:tcW w:type="dxa" w:w="2160"/>
          </w:tcPr>
          <w:p>
            <w:r>
              <w:rPr>
                <w:sz w:val="20"/>
              </w:rPr>
            </w:r>
            <w:r>
              <w:rPr>
                <w:sz w:val="20"/>
              </w:rPr>
              <w:t>FY28-FY29</w:t>
            </w:r>
          </w:p>
        </w:tc>
      </w:tr>
      <w:tr>
        <w:tc>
          <w:tcPr>
            <w:tcW w:type="dxa" w:w="2160"/>
          </w:tcPr>
          <w:p>
            <w:r>
              <w:rPr>
                <w:sz w:val="20"/>
              </w:rPr>
            </w:r>
            <w:r>
              <w:rPr>
                <w:sz w:val="20"/>
              </w:rPr>
              <w:t>11</w:t>
            </w:r>
          </w:p>
        </w:tc>
        <w:tc>
          <w:tcPr>
            <w:tcW w:type="dxa" w:w="2160"/>
          </w:tcPr>
          <w:p>
            <w:r>
              <w:rPr>
                <w:sz w:val="20"/>
              </w:rPr>
            </w:r>
            <w:r>
              <w:rPr>
                <w:sz w:val="20"/>
              </w:rPr>
              <w:t>For each variable in a requested career dataset assembly, what is the access procedure and transformation requirement?</w:t>
            </w:r>
          </w:p>
        </w:tc>
        <w:tc>
          <w:tcPr>
            <w:tcW w:type="dxa" w:w="2160"/>
          </w:tcPr>
          <w:p>
            <w:r>
              <w:rPr>
                <w:sz w:val="20"/>
              </w:rPr>
            </w:r>
            <w:r>
              <w:rPr>
                <w:sz w:val="20"/>
              </w:rPr>
              <w:t>Researcher consultation</w:t>
            </w:r>
          </w:p>
        </w:tc>
        <w:tc>
          <w:tcPr>
            <w:tcW w:type="dxa" w:w="2160"/>
          </w:tcPr>
          <w:p>
            <w:r>
              <w:rPr>
                <w:sz w:val="20"/>
              </w:rPr>
            </w:r>
            <w:r>
              <w:rPr>
                <w:sz w:val="20"/>
              </w:rPr>
              <w:t>FY27</w:t>
            </w:r>
          </w:p>
        </w:tc>
      </w:tr>
      <w:tr>
        <w:tc>
          <w:tcPr>
            <w:tcW w:type="dxa" w:w="2160"/>
          </w:tcPr>
          <w:p>
            <w:r>
              <w:rPr>
                <w:sz w:val="20"/>
              </w:rPr>
            </w:r>
            <w:r>
              <w:rPr>
                <w:sz w:val="20"/>
              </w:rPr>
              <w:t>12</w:t>
            </w:r>
          </w:p>
        </w:tc>
        <w:tc>
          <w:tcPr>
            <w:tcW w:type="dxa" w:w="2160"/>
          </w:tcPr>
          <w:p>
            <w:r>
              <w:rPr>
                <w:sz w:val="20"/>
              </w:rPr>
            </w:r>
            <w:r>
              <w:rPr>
                <w:sz w:val="20"/>
              </w:rPr>
              <w:t>Which variables have known data quality limitations documented in the mapping?</w:t>
            </w:r>
          </w:p>
        </w:tc>
        <w:tc>
          <w:tcPr>
            <w:tcW w:type="dxa" w:w="2160"/>
          </w:tcPr>
          <w:p>
            <w:r>
              <w:rPr>
                <w:sz w:val="20"/>
              </w:rPr>
            </w:r>
            <w:r>
              <w:rPr>
                <w:sz w:val="20"/>
              </w:rPr>
              <w:t>Researcher consultation</w:t>
            </w:r>
          </w:p>
        </w:tc>
        <w:tc>
          <w:tcPr>
            <w:tcW w:type="dxa" w:w="2160"/>
          </w:tcPr>
          <w:p>
            <w:r>
              <w:rPr>
                <w:sz w:val="20"/>
              </w:rPr>
            </w:r>
            <w:r>
              <w:rPr>
                <w:sz w:val="20"/>
              </w:rPr>
              <w:t>FY27-FY29</w:t>
            </w:r>
          </w:p>
        </w:tc>
      </w:tr>
    </w:tbl>
    <w:p>
      <w:pPr>
        <w:spacing w:before="40" w:after="240" w:line="480" w:lineRule="auto"/>
        <w:jc w:val="left"/>
      </w:pPr>
      <w:r>
        <w:rPr>
          <w:rFonts w:ascii="Times New Roman" w:hAnsi="Times New Roman"/>
          <w:i/>
          <w:sz w:val="20"/>
        </w:rPr>
        <w:t>Note.</w:t>
      </w:r>
      <w:r>
        <w:rPr>
          <w:rFonts w:ascii="Times New Roman" w:hAnsi="Times New Roman"/>
          <w:i w:val="0"/>
          <w:sz w:val="20"/>
        </w:rPr>
        <w:t xml:space="preserve"> RQ = research question; CGSC = Command and General Staff College; DAG = directed acyclic graph; ACSO = Army Career State Ontology; OTT = Occupational Task Taxonomy.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sz w:val="24"/>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sz w:val="24"/>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