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0000610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COLUMBIA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2200927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describe an ideal Columbia essay as: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Profoundly intellectual (deep)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Boldly challenging norms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Strategically controversial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Witty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725.2799987792969" w:right="73.97216796875" w:hanging="355.3799438476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Varied in references (has references from all over the world; references should be all-round, i.e., encompassing both the Sciences and Humanities)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8.35998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Hacks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 loves social "traumas"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traumatic experiences that you experienced either first-hand or vicariously, which are provoked by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issues. ● Globalmindedness/internationalism goes a long way. Being that Columbia has 9 (soon to be10) Global Centers all over the world, this card is essential. ● The African card in tandem with the Global Citizen card work perfectly. ● The Diversity Card: showcasing an all-welcoming attitude, including but not limited to allyship and feminism.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Having at least one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activity is a plus.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9.90005493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Spiking should ideally be done in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piece of writing (PSs, LORs, etc.)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231063842773" w:lineRule="auto"/>
        <w:ind w:left="0" w:right="85.69580078125" w:firstLine="1.10000610351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 essays are biased toward seasoned creative writers. Anyone who is a good creative writer stands significantly higher chances of being admitted.</w:t>
      </w:r>
    </w:p>
    <w:sectPr>
      <w:pgSz w:h="16840" w:w="11920" w:orient="portrait"/>
      <w:pgMar w:bottom="8211.434936523438" w:top="1426.357421875" w:left="1449.2399597167969" w:right="1418.5083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