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84FDA">
      <w:pPr>
        <w:pStyle w:val="11"/>
        <w:bidi w:val="0"/>
        <w:jc w:val="center"/>
        <w:rPr>
          <w:rFonts w:hint="eastAsia"/>
          <w:sz w:val="36"/>
          <w:szCs w:val="40"/>
          <w:lang w:val="en-US" w:eastAsia="zh-CN"/>
        </w:rPr>
      </w:pPr>
      <w:r>
        <w:rPr>
          <w:rFonts w:hint="eastAsia"/>
          <w:sz w:val="36"/>
          <w:szCs w:val="40"/>
          <w:lang w:val="en-US" w:eastAsia="zh-CN"/>
        </w:rPr>
        <w:t>模块二数据收集——天井（量化最新版）</w:t>
      </w:r>
    </w:p>
    <w:p w14:paraId="475111E2">
      <w:pPr>
        <w:ind w:left="0" w:leftChars="0" w:firstLine="0" w:firstLineChars="0"/>
        <w:jc w:val="righ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2026.3.30</w:t>
      </w:r>
    </w:p>
    <w:p w14:paraId="20C8DD13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 天井</w:t>
      </w:r>
    </w:p>
    <w:p w14:paraId="0C93BDF5">
      <w:pPr>
        <w:pStyle w:val="1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2.1.1  量化数据</w:t>
      </w:r>
    </w:p>
    <w:p w14:paraId="771B6A25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关键发现：安徽工业大学黄志甲教授的硕士团队针对徽派民居的研究较为透彻，并且往往会选择馀庆堂一进中的厢房、厅堂为研究对象，增强了下列数据的一致参考性。</w:t>
      </w:r>
    </w:p>
    <w:p w14:paraId="743D70F4">
      <w:pPr>
        <w:pStyle w:val="14"/>
        <w:bidi w:val="0"/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问题：馀庆堂属于宣城市泾县，理论上不属于徽派建筑，但和徽派建筑高度相似</w:t>
      </w:r>
    </w:p>
    <w:p w14:paraId="48E3D237"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2.1.1.1  第一篇量化数据</w:t>
      </w:r>
    </w:p>
    <w:p w14:paraId="364060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default"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t>[</w:t>
      </w:r>
      <w:r>
        <w:rPr>
          <w:rFonts w:hint="eastAsia" w:eastAsia="宋体" w:cstheme="minorBidi"/>
          <w:kern w:val="2"/>
          <w:sz w:val="24"/>
          <w:szCs w:val="24"/>
          <w:lang w:val="en-US" w:eastAsia="zh-CN" w:bidi="ar-SA"/>
        </w:rPr>
        <w:t>1</w:t>
      </w:r>
      <w:r>
        <w:rPr>
          <w:rFonts w:hint="default"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t>]</w:t>
      </w:r>
      <w:r>
        <w:rPr>
          <w:rFonts w:hint="eastAsia" w:eastAsia="宋体" w:cstheme="minorBidi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eastAsia="宋体"/>
          <w:lang w:val="en-US" w:eastAsia="zh-CN"/>
        </w:rPr>
        <w:t>陈青.基于室内热环境目标的皖南农村住宅平面空间优化[D].安徽工业大学,2020.DOI:10.27790/d.cnki.gahgy.2020.000203.</w:t>
      </w:r>
    </w:p>
    <w:p w14:paraId="62A62663">
      <w:pPr>
        <w:ind w:left="0" w:leftChars="0" w:firstLine="0" w:firstLineChars="0"/>
        <w:jc w:val="center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4461510" cy="3293745"/>
            <wp:effectExtent l="0" t="0" r="571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151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61187">
      <w:pPr>
        <w:pStyle w:val="1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下表（表5.7）为馀庆堂实测数据</w:t>
      </w:r>
    </w:p>
    <w:p w14:paraId="549927B8">
      <w:pPr>
        <w:ind w:left="0" w:leftChars="0" w:firstLine="0" w:firstLineChars="0"/>
        <w:jc w:val="center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4664710" cy="337058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AC68A"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2.1.1.2  第二篇量化数据</w:t>
      </w:r>
    </w:p>
    <w:p w14:paraId="57DF90D9">
      <w:pPr>
        <w:ind w:left="0" w:leftChars="0" w:firstLine="480" w:firstLineChars="20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[2] 付晓惠,张浩,高爽.天井对徽州传统民居冬季室内热环境影响初探[J].安徽工程大学学报,2020,35(06):48-52+66.</w:t>
      </w:r>
    </w:p>
    <w:p w14:paraId="59DE09F3">
      <w:pPr>
        <w:ind w:left="0" w:leftChars="0" w:firstLine="480" w:firstLineChars="20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研究对象：黟县卢村的一处典型徽州传统民居述理堂</w:t>
      </w:r>
    </w:p>
    <w:p w14:paraId="48B85786">
      <w:pPr>
        <w:ind w:left="0" w:leftChars="0" w:firstLine="482" w:firstLineChars="200"/>
        <w:jc w:val="both"/>
        <w:rPr>
          <w:rFonts w:hint="default" w:eastAsia="宋体"/>
          <w:b/>
          <w:bCs/>
          <w:color w:val="FF0000"/>
          <w:highlight w:val="yellow"/>
          <w:lang w:val="en-US" w:eastAsia="zh-CN"/>
        </w:rPr>
      </w:pPr>
      <w:r>
        <w:rPr>
          <w:rFonts w:hint="eastAsia" w:eastAsia="宋体"/>
          <w:b/>
          <w:bCs/>
          <w:color w:val="FF0000"/>
          <w:highlight w:val="yellow"/>
          <w:lang w:val="en-US" w:eastAsia="zh-CN"/>
        </w:rPr>
        <w:t>这篇论文是突出“天井改善徽州民居室内温湿度和通风”科学道理的量化体现。</w:t>
      </w:r>
    </w:p>
    <w:p w14:paraId="27172CE0">
      <w:pPr>
        <w:ind w:left="0" w:leftChars="0" w:firstLine="0" w:firstLineChars="0"/>
        <w:jc w:val="center"/>
      </w:pPr>
      <w:r>
        <w:drawing>
          <wp:inline distT="0" distB="0" distL="114300" distR="114300">
            <wp:extent cx="5759450" cy="1263650"/>
            <wp:effectExtent l="0" t="0" r="317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D9A17">
      <w:pPr>
        <w:ind w:left="0" w:leftChars="0" w:firstLine="0" w:firstLineChars="0"/>
        <w:jc w:val="center"/>
      </w:pPr>
      <w:r>
        <w:drawing>
          <wp:inline distT="0" distB="0" distL="114300" distR="114300">
            <wp:extent cx="5745480" cy="1409065"/>
            <wp:effectExtent l="0" t="0" r="762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45444">
      <w:pPr>
        <w:ind w:left="0" w:leftChars="0" w:firstLine="0" w:firstLineChars="0"/>
        <w:jc w:val="center"/>
      </w:pPr>
      <w:r>
        <w:drawing>
          <wp:inline distT="0" distB="0" distL="114300" distR="114300">
            <wp:extent cx="5746750" cy="1461135"/>
            <wp:effectExtent l="0" t="0" r="635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606C5">
      <w:pPr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040530D9"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2.1.1.3  第三篇量化数据</w:t>
      </w:r>
    </w:p>
    <w:p w14:paraId="7767870D">
      <w:pPr>
        <w:pStyle w:val="14"/>
        <w:bidi w:val="0"/>
        <w:rPr>
          <w:rFonts w:hint="eastAsia"/>
          <w:lang w:val="en-US" w:eastAsia="zh-CN"/>
        </w:rPr>
      </w:pPr>
      <w:r>
        <w:rPr>
          <w:rFonts w:hint="default"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t>[</w:t>
      </w:r>
      <w:r>
        <w:rPr>
          <w:rFonts w:hint="eastAsia" w:eastAsia="宋体" w:cstheme="minorBidi"/>
          <w:kern w:val="2"/>
          <w:sz w:val="24"/>
          <w:szCs w:val="24"/>
          <w:lang w:val="en-US" w:eastAsia="zh-CN" w:bidi="ar-SA"/>
        </w:rPr>
        <w:t>3</w:t>
      </w:r>
      <w:r>
        <w:rPr>
          <w:rFonts w:hint="default"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t>]</w:t>
      </w:r>
      <w:r>
        <w:rPr>
          <w:rFonts w:hint="eastAsia" w:eastAsia="宋体" w:cstheme="minorBidi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eastAsia="宋体"/>
          <w:lang w:val="en-US" w:eastAsia="zh-CN"/>
        </w:rPr>
        <w:t>任伊卿.天井对皖南联排住宅室内光环境与风环境的改善研究[D].安徽工业大学,2020.DOI:10.27790/d.cnki.gahgy.2020.000356.</w:t>
      </w:r>
    </w:p>
    <w:p w14:paraId="4E2803D3">
      <w:pPr>
        <w:pStyle w:val="1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适用对象：馀庆堂</w:t>
      </w:r>
    </w:p>
    <w:p w14:paraId="55D15AAB">
      <w:pPr>
        <w:pStyle w:val="13"/>
        <w:bidi w:val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182745" cy="2611120"/>
            <wp:effectExtent l="0" t="0" r="825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745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DDCE6">
      <w:pPr>
        <w:ind w:left="0" w:leftChars="0" w:firstLine="0" w:firstLineChars="0"/>
        <w:jc w:val="center"/>
      </w:pPr>
      <w:r>
        <w:drawing>
          <wp:inline distT="0" distB="0" distL="114300" distR="114300">
            <wp:extent cx="4236085" cy="265747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8A669">
      <w:pPr>
        <w:ind w:left="0" w:leftChars="0" w:firstLine="0" w:firstLineChars="0"/>
        <w:jc w:val="center"/>
      </w:pPr>
      <w:r>
        <w:drawing>
          <wp:inline distT="0" distB="0" distL="114300" distR="114300">
            <wp:extent cx="4288790" cy="2623185"/>
            <wp:effectExtent l="0" t="0" r="6985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DA3ED">
      <w:pPr>
        <w:pStyle w:val="13"/>
        <w:bidi w:val="0"/>
        <w:rPr>
          <w:b/>
          <w:bCs/>
          <w:color w:val="FF0000"/>
        </w:rPr>
      </w:pPr>
      <w:r>
        <w:rPr>
          <w:rFonts w:hint="eastAsia"/>
          <w:b/>
          <w:bCs/>
          <w:color w:val="FF0000"/>
          <w:lang w:val="en-US" w:eastAsia="zh-CN"/>
        </w:rPr>
        <w:t>2.1.1.4  第四篇量化数据（数据神作）</w:t>
      </w:r>
    </w:p>
    <w:p w14:paraId="67DB66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Times New Roman" w:cstheme="minorBidi"/>
          <w:kern w:val="2"/>
          <w:sz w:val="24"/>
          <w:szCs w:val="24"/>
          <w:lang w:val="en-US" w:eastAsia="zh-CN" w:bidi="ar-SA"/>
        </w:rPr>
        <w:t>[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4</w:t>
      </w:r>
      <w:r>
        <w:rPr>
          <w:rFonts w:hint="eastAsia" w:ascii="Times New Roman" w:hAnsi="Times New Roman" w:eastAsia="Times New Roman" w:cstheme="minorBidi"/>
          <w:kern w:val="2"/>
          <w:sz w:val="24"/>
          <w:szCs w:val="24"/>
          <w:lang w:val="en-US" w:eastAsia="zh-CN" w:bidi="ar-SA"/>
        </w:rPr>
        <w:t>]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eastAsia="宋体"/>
          <w:lang w:val="en-US" w:eastAsia="zh-CN"/>
        </w:rPr>
        <w:t>郑志元,汤铭,刘欣慰,姜凯.徽州传统民居天井平面几何参数对室内风环境的影响研究[J].家具与室内装饰,2023,30(7):115-123</w:t>
      </w:r>
    </w:p>
    <w:p w14:paraId="433EF9AD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适用对象：全体徽派民居</w:t>
      </w:r>
    </w:p>
    <w:p w14:paraId="72CD8F9B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解释：M编号表示面阔维度组；J编号表示进深维度组。</w:t>
      </w:r>
    </w:p>
    <w:p w14:paraId="63959557">
      <w:pPr>
        <w:pStyle w:val="14"/>
        <w:bidi w:val="0"/>
        <w:rPr>
          <w:rFonts w:hint="default"/>
          <w:b/>
          <w:bCs/>
          <w:color w:val="FF0000"/>
          <w:highlight w:val="yellow"/>
          <w:lang w:val="en-US" w:eastAsia="zh-CN"/>
        </w:rPr>
      </w:pPr>
      <w:r>
        <w:rPr>
          <w:rFonts w:hint="eastAsia"/>
          <w:b/>
          <w:bCs/>
          <w:color w:val="FF0000"/>
          <w:highlight w:val="yellow"/>
          <w:lang w:val="en-US" w:eastAsia="zh-CN"/>
        </w:rPr>
        <w:t>本篇论文侧重于“徽州建筑不同类型的天井，对室内通风环境影响”，偏向古建筑天井的设计决策，为现代建筑改造提供建议。</w:t>
      </w:r>
    </w:p>
    <w:p w14:paraId="2AAA6A7A">
      <w:pPr>
        <w:ind w:left="0" w:leftChars="0" w:firstLine="0" w:firstLineChars="0"/>
        <w:jc w:val="center"/>
      </w:pPr>
      <w:r>
        <w:drawing>
          <wp:inline distT="0" distB="0" distL="114300" distR="114300">
            <wp:extent cx="5752465" cy="2731135"/>
            <wp:effectExtent l="0" t="0" r="635" b="254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A5436">
      <w:pPr>
        <w:ind w:left="0" w:leftChars="0" w:firstLine="0" w:firstLineChars="0"/>
        <w:jc w:val="center"/>
      </w:pPr>
      <w:r>
        <w:drawing>
          <wp:inline distT="0" distB="0" distL="114300" distR="114300">
            <wp:extent cx="5472430" cy="2706370"/>
            <wp:effectExtent l="0" t="0" r="4445" b="825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E85F6">
      <w:pPr>
        <w:ind w:left="0" w:leftChars="0" w:firstLine="0" w:firstLineChars="0"/>
        <w:jc w:val="center"/>
      </w:pPr>
      <w:r>
        <w:drawing>
          <wp:inline distT="0" distB="0" distL="114300" distR="114300">
            <wp:extent cx="635" cy="0"/>
            <wp:effectExtent l="0" t="0" r="0" b="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92445" cy="2752090"/>
            <wp:effectExtent l="0" t="0" r="8255" b="635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5FF96">
      <w:pPr>
        <w:ind w:left="0" w:leftChars="0" w:firstLine="0" w:firstLineChars="0"/>
        <w:jc w:val="center"/>
      </w:pPr>
      <w:r>
        <w:drawing>
          <wp:inline distT="0" distB="0" distL="114300" distR="114300">
            <wp:extent cx="5744210" cy="2814955"/>
            <wp:effectExtent l="0" t="0" r="8890" b="4445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18A6C">
      <w:pPr>
        <w:ind w:left="0" w:leftChars="0" w:firstLine="0" w:firstLineChars="0"/>
        <w:jc w:val="both"/>
        <w:rPr>
          <w:rFonts w:hint="eastAsia"/>
          <w:lang w:val="en-US" w:eastAsia="zh-CN"/>
        </w:rPr>
      </w:pPr>
    </w:p>
    <w:p w14:paraId="434C2527">
      <w:pPr>
        <w:pStyle w:val="1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综合打分表</w:t>
      </w:r>
    </w:p>
    <w:p w14:paraId="0D5ABFD4">
      <w:pPr>
        <w:pStyle w:val="13"/>
        <w:bidi w:val="0"/>
        <w:jc w:val="center"/>
      </w:pPr>
      <w:r>
        <w:drawing>
          <wp:inline distT="0" distB="0" distL="114300" distR="114300">
            <wp:extent cx="4500880" cy="3093720"/>
            <wp:effectExtent l="0" t="0" r="4445" b="1905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02144">
      <w:pPr>
        <w:pStyle w:val="1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增设组效果</w:t>
      </w:r>
    </w:p>
    <w:p w14:paraId="38B6C1A8">
      <w:pPr>
        <w:pStyle w:val="13"/>
        <w:bidi w:val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587115" cy="2973705"/>
            <wp:effectExtent l="0" t="0" r="3810" b="762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7115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F304D">
      <w:pPr>
        <w:pStyle w:val="1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增设组综合打分</w:t>
      </w:r>
    </w:p>
    <w:p w14:paraId="19D49283">
      <w:pPr>
        <w:pStyle w:val="13"/>
        <w:bidi w:val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054600" cy="1498600"/>
            <wp:effectExtent l="0" t="0" r="3175" b="6350"/>
            <wp:docPr id="2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80290">
      <w:pPr>
        <w:pStyle w:val="1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2.1.1.5  第五篇量化数据</w:t>
      </w:r>
    </w:p>
    <w:p w14:paraId="622907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both"/>
        <w:textAlignment w:val="auto"/>
        <w:rPr>
          <w:rFonts w:hint="default" w:eastAsia="宋体"/>
          <w:lang w:val="en-US" w:eastAsia="zh-CN"/>
        </w:rPr>
      </w:pPr>
      <w:r>
        <w:rPr>
          <w:rFonts w:hint="default"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t>[</w:t>
      </w:r>
      <w:r>
        <w:rPr>
          <w:rFonts w:hint="eastAsia" w:eastAsia="宋体" w:cstheme="minorBidi"/>
          <w:kern w:val="2"/>
          <w:sz w:val="24"/>
          <w:szCs w:val="24"/>
          <w:lang w:val="en-US" w:eastAsia="zh-CN" w:bidi="ar-SA"/>
        </w:rPr>
        <w:t>5</w:t>
      </w:r>
      <w:r>
        <w:rPr>
          <w:rFonts w:hint="default" w:ascii="Times New Roman" w:hAnsi="Times New Roman" w:eastAsia="宋体" w:cstheme="minorBidi"/>
          <w:kern w:val="2"/>
          <w:sz w:val="24"/>
          <w:szCs w:val="24"/>
          <w:lang w:val="en-US" w:eastAsia="zh-CN" w:bidi="ar-SA"/>
        </w:rPr>
        <w:t>]</w:t>
      </w:r>
      <w:r>
        <w:rPr>
          <w:rFonts w:hint="eastAsia" w:eastAsia="宋体" w:cstheme="minorBidi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eastAsia="宋体"/>
          <w:lang w:val="en-US" w:eastAsia="zh-CN"/>
        </w:rPr>
        <w:t>余梦琦.徽州传统民居室内热环境形成机理研究[D].安徽工业大学,2018.</w:t>
      </w:r>
    </w:p>
    <w:p w14:paraId="44A465EC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适用范围：全体徽派民居</w:t>
      </w:r>
    </w:p>
    <w:p w14:paraId="43017125">
      <w:pPr>
        <w:pStyle w:val="14"/>
        <w:bidi w:val="0"/>
        <w:rPr>
          <w:rFonts w:hint="default"/>
          <w:b/>
          <w:bCs/>
          <w:color w:val="FF0000"/>
          <w:highlight w:val="yellow"/>
          <w:lang w:val="en-US" w:eastAsia="zh-CN"/>
        </w:rPr>
      </w:pPr>
      <w:r>
        <w:rPr>
          <w:rFonts w:hint="eastAsia"/>
          <w:b/>
          <w:bCs/>
          <w:color w:val="FF0000"/>
          <w:highlight w:val="yellow"/>
          <w:lang w:val="en-US" w:eastAsia="zh-CN"/>
        </w:rPr>
        <w:t>本文侧重于天井的材料原理。</w:t>
      </w:r>
    </w:p>
    <w:p w14:paraId="5B4B599B">
      <w:pPr>
        <w:pStyle w:val="13"/>
        <w:bidi w:val="0"/>
        <w:jc w:val="center"/>
      </w:pPr>
      <w:r>
        <w:drawing>
          <wp:inline distT="0" distB="0" distL="114300" distR="114300">
            <wp:extent cx="3625850" cy="2264410"/>
            <wp:effectExtent l="0" t="0" r="3175" b="254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DB6BA">
      <w:pPr>
        <w:pStyle w:val="13"/>
        <w:bidi w:val="0"/>
        <w:jc w:val="center"/>
      </w:pPr>
      <w:r>
        <w:drawing>
          <wp:inline distT="0" distB="0" distL="114300" distR="114300">
            <wp:extent cx="3672840" cy="2766695"/>
            <wp:effectExtent l="0" t="0" r="3810" b="508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7A722">
      <w:pPr>
        <w:pStyle w:val="13"/>
        <w:bidi w:val="0"/>
        <w:jc w:val="center"/>
      </w:pPr>
      <w:r>
        <w:drawing>
          <wp:inline distT="0" distB="0" distL="114300" distR="114300">
            <wp:extent cx="3580765" cy="2333625"/>
            <wp:effectExtent l="0" t="0" r="635" b="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rcRect b="1573"/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1EBDC">
      <w:pPr>
        <w:pStyle w:val="13"/>
        <w:bidi w:val="0"/>
        <w:jc w:val="both"/>
        <w:rPr>
          <w:rFonts w:hint="eastAsia"/>
          <w:lang w:val="en-US" w:eastAsia="zh-CN"/>
        </w:rPr>
        <w:sectPr>
          <w:footerReference r:id="rId5" w:type="default"/>
          <w:pgSz w:w="11906" w:h="16838"/>
          <w:pgMar w:top="1417" w:right="1417" w:bottom="1417" w:left="1417" w:header="851" w:footer="992" w:gutter="0"/>
          <w:pgNumType w:fmt="decimal"/>
          <w:cols w:space="425" w:num="1"/>
          <w:docGrid w:type="lines" w:linePitch="312" w:charSpace="0"/>
        </w:sectPr>
      </w:pPr>
    </w:p>
    <w:p w14:paraId="0A7565BE">
      <w:pPr>
        <w:pStyle w:val="13"/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2.1.2  流程框架</w:t>
      </w:r>
    </w:p>
    <w:p w14:paraId="4A083801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从知网、万方、维普等平台提取了18篇以徽州天井研究为中心的论文（包括期刊论文、学位论文等类型），结合文献针对天井的形容介绍，利用CRISPE框架撰写提示词（完整提示词可见附件5），利用DeepSeek提取天井的核心架构特征，结合人工核验，汇总流程图框架如下：</w:t>
      </w:r>
    </w:p>
    <w:p w14:paraId="3486FEE8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（1）第一层：天井四大影响因素</w:t>
      </w:r>
    </w:p>
    <w:p w14:paraId="794E7A97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4个：自然环境、生活需求、建筑技术、地域文化</w:t>
      </w:r>
    </w:p>
    <w:p w14:paraId="54140005">
      <w:pPr>
        <w:pStyle w:val="14"/>
        <w:bidi w:val="0"/>
        <w:rPr>
          <w:rFonts w:hint="eastAsia"/>
          <w:lang w:val="en-US" w:eastAsia="zh-CN"/>
        </w:rPr>
      </w:pPr>
    </w:p>
    <w:p w14:paraId="296F70EA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（2）第二层：影响因素细分</w:t>
      </w:r>
    </w:p>
    <w:p w14:paraId="4EB984C2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9个：气候条件、地形地貌、采光需求、通风需求、社交需求、材料特性、结构体系、风水观念、哲学思想</w:t>
      </w:r>
    </w:p>
    <w:p w14:paraId="3C8163E6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自然环境：气候条件、地形地貌</w:t>
      </w:r>
    </w:p>
    <w:p w14:paraId="1A7C1125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生活需求：采光需求、通风需求、社交需求</w:t>
      </w:r>
    </w:p>
    <w:p w14:paraId="642BE0C6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建筑技术：材料特性、结构体系</w:t>
      </w:r>
    </w:p>
    <w:p w14:paraId="728DE3CB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地域文化：风水观念、哲学思想</w:t>
      </w:r>
    </w:p>
    <w:p w14:paraId="4AC6472D">
      <w:pPr>
        <w:pStyle w:val="14"/>
        <w:bidi w:val="0"/>
        <w:rPr>
          <w:rFonts w:hint="eastAsia"/>
          <w:lang w:val="en-US" w:eastAsia="zh-CN"/>
        </w:rPr>
      </w:pPr>
    </w:p>
    <w:p w14:paraId="0670FC4E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（3）第三层：天井主要类型与影响因素对应</w:t>
      </w:r>
    </w:p>
    <w:p w14:paraId="7836EF3A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5个：凹字型、回字型、H字型、日字型、一字型</w:t>
      </w:r>
    </w:p>
    <w:p w14:paraId="7AE54199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气候条件：凹字型、回字型、H字型、日字型、一字型</w:t>
      </w:r>
    </w:p>
    <w:p w14:paraId="6161578F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地形地貌：凹字型、回字型、H字型、日字型、一字型</w:t>
      </w:r>
    </w:p>
    <w:p w14:paraId="1C62059B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采光需求：凹字型、回字型、H字型、日字型、一字型</w:t>
      </w:r>
    </w:p>
    <w:p w14:paraId="72513F41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通风需求：凹字型、回字型、H字型、日字型、一字型</w:t>
      </w:r>
    </w:p>
    <w:p w14:paraId="58B7053F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社交需求：凹字型、回字型、H字型、日字型</w:t>
      </w:r>
    </w:p>
    <w:p w14:paraId="1E130B24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材料特性：凹字型、回字型、H字型、日字型、一字型</w:t>
      </w:r>
    </w:p>
    <w:p w14:paraId="7D236268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结构体系：凹字型、回字型、H字型、日字型、一字型</w:t>
      </w:r>
    </w:p>
    <w:p w14:paraId="7C8380A4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风水观念：回字型、H字型、日字型</w:t>
      </w:r>
    </w:p>
    <w:p w14:paraId="5F77C48C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哲学思想：凹字型、回字型、H字型、日字型、一字型</w:t>
      </w:r>
    </w:p>
    <w:p w14:paraId="3DDF6EDD">
      <w:pPr>
        <w:pStyle w:val="14"/>
        <w:bidi w:val="0"/>
        <w:rPr>
          <w:rFonts w:hint="eastAsia"/>
          <w:lang w:val="en-US" w:eastAsia="zh-CN"/>
        </w:rPr>
      </w:pPr>
    </w:p>
    <w:p w14:paraId="09677FDC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（4）第四层：对应的构造做法</w:t>
      </w:r>
    </w:p>
    <w:p w14:paraId="66B3E7F5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10个：青石铺地、木构隔扇、水体蒸发池、排水明沟、蓄水缸、镂空花窗、挑檐遮阳、活动格栅、轻质围护、坡顶内向</w:t>
      </w:r>
    </w:p>
    <w:p w14:paraId="6A3B87A1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凹字型：青石铺地、木构隔扇、排水明沟、蓄水缸、镂空花窗、挑檐遮阳、坡顶内向</w:t>
      </w:r>
    </w:p>
    <w:p w14:paraId="12B21FAD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回字型：青石铺地、水体蒸发池、排水明沟、蓄水缸、镂空花窗、挑檐遮阳、活动格栅、坡顶内向</w:t>
      </w:r>
    </w:p>
    <w:p w14:paraId="6F392B56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H字型：青石铺地、排水明沟、蓄水缸、镂空花窗、挑檐遮阳、坡顶内向</w:t>
      </w:r>
    </w:p>
    <w:p w14:paraId="067B35F3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日字型：青石铺地、排水明沟、蓄水缸、镂空花窗、挑檐遮阳、坡顶内向</w:t>
      </w:r>
    </w:p>
    <w:p w14:paraId="73544288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一字型：青石铺地、轻质围护、排水明沟、镂空花窗、</w:t>
      </w:r>
      <w:bookmarkStart w:id="0" w:name="_GoBack"/>
      <w:bookmarkEnd w:id="0"/>
      <w:r>
        <w:rPr>
          <w:rFonts w:hint="eastAsia"/>
          <w:lang w:val="en-US" w:eastAsia="zh-CN"/>
        </w:rPr>
        <w:t>挑檐遮阳</w:t>
      </w:r>
    </w:p>
    <w:p w14:paraId="5DED9BE0">
      <w:pPr>
        <w:rPr>
          <w:rFonts w:hint="eastAsia"/>
          <w:lang w:val="en-US" w:eastAsia="zh-CN"/>
        </w:rPr>
      </w:pPr>
    </w:p>
    <w:p w14:paraId="5D20904C">
      <w:pPr>
        <w:pStyle w:val="13"/>
        <w:bidi w:val="0"/>
        <w:rPr>
          <w:rFonts w:hint="eastAsia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 xml:space="preserve">3 </w:t>
      </w:r>
      <w:r>
        <w:rPr>
          <w:rFonts w:hint="default"/>
          <w:lang w:val="en-US" w:eastAsia="zh-CN"/>
        </w:rPr>
        <w:t xml:space="preserve"> 代表性关键词提取</w:t>
      </w:r>
    </w:p>
    <w:p w14:paraId="2B9F171E">
      <w:pPr>
        <w:pStyle w:val="14"/>
        <w:bidi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我们从知网、万方、维普等平台提取了18篇以徽州天井研究为中心的论文（包括期刊论文、学位论文等类型），结合文献针对天井的形容介绍，利用</w:t>
      </w:r>
      <w:r>
        <w:rPr>
          <w:rFonts w:hint="eastAsia"/>
          <w:lang w:val="en-US" w:eastAsia="zh-CN"/>
        </w:rPr>
        <w:t>CRISPE框架撰写提示词（完整提示词可见附件5），利用</w:t>
      </w:r>
      <w:r>
        <w:rPr>
          <w:rFonts w:hint="eastAsia" w:eastAsia="宋体"/>
          <w:lang w:val="en-US" w:eastAsia="zh-CN"/>
        </w:rPr>
        <w:t>DeepSeek提取核心关键词在18篇文献出现的频率（例如，出现频率为15，表示出现了15次），结合人工核验，汇总表格如下：</w:t>
      </w:r>
    </w:p>
    <w:tbl>
      <w:tblPr>
        <w:tblStyle w:val="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6"/>
        <w:gridCol w:w="2438"/>
        <w:gridCol w:w="721"/>
        <w:gridCol w:w="4567"/>
      </w:tblGrid>
      <w:tr w14:paraId="2690A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03EE7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关键词</w:t>
            </w:r>
          </w:p>
        </w:tc>
        <w:tc>
          <w:tcPr>
            <w:tcW w:w="243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21A8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合并后的统一关键词（若有）</w:t>
            </w:r>
          </w:p>
        </w:tc>
        <w:tc>
          <w:tcPr>
            <w:tcW w:w="72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0364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出现频率</w:t>
            </w:r>
          </w:p>
        </w:tc>
        <w:tc>
          <w:tcPr>
            <w:tcW w:w="456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311E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备注（同义归类说明）</w:t>
            </w:r>
          </w:p>
        </w:tc>
      </w:tr>
      <w:tr w14:paraId="2B8B0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4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A3F0C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功能需求</w:t>
            </w:r>
          </w:p>
        </w:tc>
      </w:tr>
      <w:tr w14:paraId="60A14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7101E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通风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D5D1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通风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F141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48B41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核心功能之一，多数文献详细论述其通风机制</w:t>
            </w:r>
          </w:p>
        </w:tc>
      </w:tr>
      <w:tr w14:paraId="4A29E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2B44D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采光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EAEC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采光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B179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CF78D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核心功能之一</w:t>
            </w:r>
          </w:p>
        </w:tc>
      </w:tr>
      <w:tr w14:paraId="6568D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42642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遮阳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CE57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遮阳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05AE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7CCC4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部分文献（尤其是硕博论文）进行了定量分析</w:t>
            </w:r>
          </w:p>
        </w:tc>
      </w:tr>
      <w:tr w14:paraId="65DE4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35BCC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排水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EF30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排水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1C65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2D144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包含集水、排泄雨水</w:t>
            </w:r>
          </w:p>
        </w:tc>
      </w:tr>
      <w:tr w14:paraId="447CF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37699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防火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FB01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防火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6A57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1A7DF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作为安全功能提及</w:t>
            </w:r>
          </w:p>
        </w:tc>
      </w:tr>
      <w:tr w14:paraId="7EB3B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CE7A8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调节微气候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E08F8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调节微气候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C4FB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D5C9B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包含调节室内温湿度、小气候等</w:t>
            </w:r>
          </w:p>
        </w:tc>
      </w:tr>
      <w:tr w14:paraId="79DE0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AA245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热环境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2D4E5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热环境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58C0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99E11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多为硕博论文的定量研究主题</w:t>
            </w:r>
          </w:p>
        </w:tc>
      </w:tr>
      <w:tr w14:paraId="7230C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D79A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自然通风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0A5B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自然通风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03A5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C61D0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与“通风”语义相近，但多出现于定量研究中</w:t>
            </w:r>
          </w:p>
        </w:tc>
      </w:tr>
      <w:tr w14:paraId="7EB9E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03B35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节能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D102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节能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7AAE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9B9A2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与现代建筑结合的论述点</w:t>
            </w:r>
          </w:p>
        </w:tc>
      </w:tr>
      <w:tr w14:paraId="4DF32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4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2A2FC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</w:tr>
      <w:tr w14:paraId="3DC9E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8DEE6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一字型天井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4DF1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一字型天井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BEAE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0D97C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常见分类之一</w:t>
            </w:r>
          </w:p>
        </w:tc>
      </w:tr>
      <w:tr w14:paraId="7AF6F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EFCEB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回字型天井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9F1A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回字型天井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43ED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FAC66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常见分类之一，又名“四水归堂”</w:t>
            </w:r>
          </w:p>
        </w:tc>
      </w:tr>
      <w:tr w14:paraId="72046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10ACF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H字型天井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8A4D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H字型天井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3E72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563DD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常见分类之一</w:t>
            </w:r>
          </w:p>
        </w:tc>
      </w:tr>
      <w:tr w14:paraId="33212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3134F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日字型天井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00A4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日字型天井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3A81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05A9D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常见分类之一</w:t>
            </w:r>
          </w:p>
        </w:tc>
      </w:tr>
      <w:tr w14:paraId="7B8B6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2387F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凹字型天井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8D3F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凹字型天井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BA35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44801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常见分类之一，即“三合院”</w:t>
            </w:r>
          </w:p>
        </w:tc>
      </w:tr>
      <w:tr w14:paraId="12043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4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05D69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结构做法</w:t>
            </w:r>
          </w:p>
        </w:tc>
      </w:tr>
      <w:tr w14:paraId="7ECD4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E3FAB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四水归堂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D3C9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四水归堂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F302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77119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核心形制与文化理念</w:t>
            </w:r>
          </w:p>
        </w:tc>
      </w:tr>
      <w:tr w14:paraId="3D2C7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4F7B2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热压通风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4BFD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热压通风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F916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B82B3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通风机制的核心原理</w:t>
            </w:r>
          </w:p>
        </w:tc>
      </w:tr>
      <w:tr w14:paraId="7E338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0BD70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马头墙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E59C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马头墙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DEA5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2B0D8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徽派建筑另一重要元素，与天井形成内外关系</w:t>
            </w:r>
          </w:p>
        </w:tc>
      </w:tr>
      <w:tr w14:paraId="05564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7BB0E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烟囱效应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A387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烟囱效应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A418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BD8F1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热压通风的别称</w:t>
            </w:r>
          </w:p>
        </w:tc>
      </w:tr>
      <w:tr w14:paraId="5283C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0A23F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木雕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54F2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木雕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A8EB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226E0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作为“徽州三雕”的一部分</w:t>
            </w:r>
          </w:p>
        </w:tc>
      </w:tr>
      <w:tr w14:paraId="0C6C2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102B0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石雕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254F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石雕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C499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414DB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作为“徽州三雕”的一部分</w:t>
            </w:r>
          </w:p>
        </w:tc>
      </w:tr>
      <w:tr w14:paraId="14F37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4915D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砖雕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7B08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砖雕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A8DB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0F40F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作为“徽州三雕”的一部分</w:t>
            </w:r>
          </w:p>
        </w:tc>
      </w:tr>
      <w:tr w14:paraId="3040A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0DC11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过亭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62E6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过亭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F491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44CFD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天井的附属结构，用于遮风挡雨</w:t>
            </w:r>
          </w:p>
        </w:tc>
      </w:tr>
      <w:tr w14:paraId="7BEF3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ACDDE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蓄水池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3166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蓄水池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B05E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776D8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天井底部常见构造，用于蓄水、调节湿度</w:t>
            </w:r>
          </w:p>
        </w:tc>
      </w:tr>
      <w:tr w14:paraId="5771B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2C67A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穿堂风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EF0A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穿堂风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2CFF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9C63D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风压通风的一种形式</w:t>
            </w:r>
          </w:p>
        </w:tc>
      </w:tr>
      <w:tr w14:paraId="0A82C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4B665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风压通风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2B4D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风压通风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229D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20484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与“热压通风”并列的通风动力</w:t>
            </w:r>
          </w:p>
        </w:tc>
      </w:tr>
      <w:tr w14:paraId="4E8D4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gridSpan w:val="4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9085E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文化寓意</w:t>
            </w:r>
          </w:p>
        </w:tc>
      </w:tr>
      <w:tr w14:paraId="29196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C5703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天人合一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3E39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天人合一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19DA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CB6FE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核心哲学思想</w:t>
            </w:r>
          </w:p>
        </w:tc>
      </w:tr>
      <w:tr w14:paraId="3D2FE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B8B51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风水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9758D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风水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C895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72379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核心文化背景</w:t>
            </w:r>
          </w:p>
        </w:tc>
      </w:tr>
      <w:tr w14:paraId="376AE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48E31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徽商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168E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徽商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E52B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9A9E2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文化形成的社会经济背景</w:t>
            </w:r>
          </w:p>
        </w:tc>
      </w:tr>
      <w:tr w14:paraId="72ABC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371C1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聚财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DAF0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聚财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969E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814C0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风水中“四水归堂”的直接寓意</w:t>
            </w:r>
          </w:p>
        </w:tc>
      </w:tr>
      <w:tr w14:paraId="71C96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04DBE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肥水不流外人田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ACF4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肥水不流外人田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7CAB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FB0BE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“四水归堂”的通俗解释</w:t>
            </w:r>
          </w:p>
        </w:tc>
      </w:tr>
      <w:tr w14:paraId="338F6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E3BF3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宗法礼制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C5DC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宗法礼制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2F40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7E023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影响空间布局与使用伦理</w:t>
            </w:r>
          </w:p>
        </w:tc>
      </w:tr>
      <w:tr w14:paraId="29D85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96FD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借景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7A93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借景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3F56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85E5B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天井的造景手法</w:t>
            </w:r>
          </w:p>
        </w:tc>
      </w:tr>
      <w:tr w14:paraId="0B4B6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2102A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虚实相生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5C1E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虚实相生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E2F1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4B03A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哲学思想在空间上的体现</w:t>
            </w:r>
          </w:p>
        </w:tc>
      </w:tr>
      <w:tr w14:paraId="4C7AB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7DCB9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贾而好儒</w:t>
            </w:r>
          </w:p>
        </w:tc>
        <w:tc>
          <w:tcPr>
            <w:tcW w:w="2438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7B5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贾而好儒</w:t>
            </w:r>
          </w:p>
        </w:tc>
        <w:tc>
          <w:tcPr>
            <w:tcW w:w="721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5ED5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5830C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徽商的文化特质</w:t>
            </w:r>
          </w:p>
        </w:tc>
      </w:tr>
      <w:tr w14:paraId="73640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0153B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顶天立地</w:t>
            </w:r>
          </w:p>
        </w:tc>
        <w:tc>
          <w:tcPr>
            <w:tcW w:w="2438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18EE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顶天立地</w:t>
            </w:r>
          </w:p>
        </w:tc>
        <w:tc>
          <w:tcPr>
            <w:tcW w:w="721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3F9F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4567" w:type="dxa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B31DE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居住者的心理感受与精神寄托</w:t>
            </w:r>
          </w:p>
        </w:tc>
      </w:tr>
    </w:tbl>
    <w:p w14:paraId="43B1BADF">
      <w:pPr>
        <w:pStyle w:val="13"/>
        <w:bidi w:val="0"/>
        <w:jc w:val="both"/>
        <w:rPr>
          <w:rFonts w:hint="default"/>
          <w:lang w:val="en-US" w:eastAsia="zh-CN"/>
        </w:rPr>
      </w:pPr>
    </w:p>
    <w:p w14:paraId="1C5F0462">
      <w:pPr>
        <w:pStyle w:val="13"/>
        <w:bidi w:val="0"/>
        <w:jc w:val="both"/>
        <w:rPr>
          <w:rFonts w:hint="default"/>
          <w:lang w:val="en-US" w:eastAsia="zh-CN"/>
        </w:rPr>
      </w:pPr>
    </w:p>
    <w:p w14:paraId="7C19BF72">
      <w:pPr>
        <w:pStyle w:val="13"/>
        <w:bidi w:val="0"/>
        <w:jc w:val="both"/>
        <w:rPr>
          <w:rFonts w:hint="default"/>
          <w:lang w:val="en-US" w:eastAsia="zh-CN"/>
        </w:rPr>
      </w:pPr>
    </w:p>
    <w:p w14:paraId="467AF687">
      <w:pPr>
        <w:pStyle w:val="13"/>
        <w:bidi w:val="0"/>
        <w:rPr>
          <w:rFonts w:hint="eastAsia"/>
          <w:lang w:val="en-US" w:eastAsia="zh-CN"/>
        </w:rPr>
        <w:sectPr>
          <w:pgSz w:w="11906" w:h="16838"/>
          <w:pgMar w:top="1417" w:right="1417" w:bottom="1417" w:left="1417" w:header="851" w:footer="992" w:gutter="0"/>
          <w:pgNumType w:fmt="decimal"/>
          <w:cols w:space="425" w:num="1"/>
          <w:docGrid w:type="lines" w:linePitch="312" w:charSpace="0"/>
        </w:sectPr>
      </w:pPr>
    </w:p>
    <w:p w14:paraId="753D4D6C">
      <w:pPr>
        <w:pStyle w:val="13"/>
        <w:bidi w:val="0"/>
        <w:rPr>
          <w:rFonts w:hint="eastAsia" w:eastAsia="黑体"/>
          <w:lang w:val="en-US" w:eastAsia="zh-CN"/>
        </w:rPr>
      </w:pPr>
      <w:r>
        <w:rPr>
          <w:rFonts w:hint="eastAsia"/>
          <w:lang w:val="en-US" w:eastAsia="zh-CN"/>
        </w:rPr>
        <w:t>2.1.2-2.1.3节汇总</w:t>
      </w:r>
      <w:r>
        <w:t>文献</w:t>
      </w:r>
      <w:r>
        <w:rPr>
          <w:rFonts w:hint="eastAsia"/>
          <w:lang w:val="en-US" w:eastAsia="zh-CN"/>
        </w:rPr>
        <w:t>列表</w:t>
      </w:r>
    </w:p>
    <w:p w14:paraId="0B4CC41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[1] 张文静. 传统建筑元素的继承与创新--初探徽州民居天井结构[J]. 工程与建设,2014(4):473-475.</w:t>
      </w:r>
    </w:p>
    <w:p w14:paraId="3453EF9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[2] 王锦坤. 徽州天井的文化意蕴[J]. 淮北煤炭师范学院学报（哲学社会科学版）,2010,31(3):11-13.</w:t>
      </w:r>
    </w:p>
    <w:p w14:paraId="5A81E566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[3] 江志伟. 解读徽州古天井[J]. 江淮文史,2005(2):94-101.</w:t>
      </w:r>
    </w:p>
    <w:p w14:paraId="030CDBA3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[4] 丁平. 天井——徽派建筑的特色空间[J].现代交际,2015(9):33-34.</w:t>
      </w:r>
    </w:p>
    <w:p w14:paraId="5E843E77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[5] 丁平.浅析徽派建筑中天井空间的特色[J].现代交际,2017,(20):40-41.</w:t>
      </w:r>
    </w:p>
    <w:p w14:paraId="05989CF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[6] 张良. 天井住宅—理想的精神家园[J]. 城市建设理论研究（电子版）,2013(20).</w:t>
      </w:r>
    </w:p>
    <w:p w14:paraId="3F7A62F3">
      <w:pPr>
        <w:pStyle w:val="1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[7</w:t>
      </w:r>
      <w:r>
        <w:rPr>
          <w:rFonts w:hint="default"/>
          <w:lang w:val="en-US" w:eastAsia="zh-CN"/>
        </w:rPr>
        <w:t>] 李修然. 对于徽州民居中天井的思考[J]. 安徽建筑,2012,19(2):10-11.</w:t>
      </w:r>
    </w:p>
    <w:p w14:paraId="64BD897F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] 任翔. 徽州古民居天井的建筑学意义[J]. 当代旅游（学术版）,2011(6):77.</w:t>
      </w:r>
    </w:p>
    <w:p w14:paraId="55AFDFE2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[9] 张晓炜. 传统建筑元素现代传承演绎——论天井在现代建筑中的运用[J]. 大舞台,2010(8):92,235. DOI:10.3969/j.issn.1003-1200.2010.08.080.</w:t>
      </w:r>
    </w:p>
    <w:p w14:paraId="7B9CABBA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[10] 郭庆. 南方乡土建筑中天井的媒介功能探析[J]. 城市建筑,2020,17(13):33-37. DOI:10.3969/j.issn.1673-0232.2020.13.006.</w:t>
      </w:r>
    </w:p>
    <w:p w14:paraId="3C1BF864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[11] 彭仲雄,周柯伊. 基于建筑类型学的徽州天井空间应用研究[J]. 建筑与文化,2020(1):249-251. DOI:10.3969/j.issn.1672-4909.2020.01.088.</w:t>
      </w:r>
    </w:p>
    <w:p w14:paraId="669895C7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[12] 张恒.天井对徽州传统民居室内环境的影响分析[D].安徽工业大学,2018.</w:t>
      </w:r>
    </w:p>
    <w:p w14:paraId="14A7A553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[13] 董伟. 建筑哲学的徽州表达 ——以"马头墙"和"天井"为例[J]. 建筑与文化,2018(5):36-38. DOI:10.3969/j.issn.1672-4909.2018.05.007.</w:t>
      </w:r>
    </w:p>
    <w:p w14:paraId="7238401A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[14] 甘兴义.徽州传统建筑与天井的文化艺术特色[J].洛阳师范学院学报,2017,36(04):36-38.DOI:10.16594/j.cnki.41-1302/g4.2017.04.009.</w:t>
      </w:r>
    </w:p>
    <w:p w14:paraId="46C1108D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[15] 陈夏琳.徽州民居天井热环境调节机制及其优化设计[D].安徽工业大学,2020.DOI:10.27790/d.cnki.gahgy.2020.000329.</w:t>
      </w:r>
    </w:p>
    <w:p w14:paraId="721D8E49">
      <w:pPr>
        <w:pStyle w:val="1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[16] 林辰松,戈晓宇,邵明,等.徽派建筑中天井设计的功能及原理研究[J].建筑与文化,2016,(07):178-179.</w:t>
      </w:r>
    </w:p>
    <w:p w14:paraId="4643F855">
      <w:pPr>
        <w:pStyle w:val="1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[17] 余鸿博.探究徽派建筑中天井设计的功能及原理[J].江西建材,2017,(08):34-35.</w:t>
      </w:r>
    </w:p>
    <w:p w14:paraId="050A3ACA">
      <w:pPr>
        <w:pStyle w:val="1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[1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]汪思齐,张建国.浅析天井在徽州建筑中的应用[J].大众文艺,2019,(03):107-108.DOI:10.20112/j.cnki.issn1007-5828.2019.03.081.</w:t>
      </w:r>
    </w:p>
    <w:sectPr>
      <w:pgSz w:w="11906" w:h="16838"/>
      <w:pgMar w:top="1417" w:right="1417" w:bottom="1417" w:left="1417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70F07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6F2225">
                          <w:pPr>
                            <w:pStyle w:val="4"/>
                            <w:rPr>
                              <w:sz w:val="24"/>
                              <w:szCs w:val="40"/>
                            </w:rPr>
                          </w:pPr>
                          <w:r>
                            <w:rPr>
                              <w:sz w:val="24"/>
                              <w:szCs w:val="40"/>
                            </w:rPr>
                            <w:t xml:space="preserve">— </w:t>
                          </w:r>
                          <w:r>
                            <w:rPr>
                              <w:sz w:val="24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40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40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40"/>
                            </w:rPr>
                            <w:t>1</w:t>
                          </w:r>
                          <w:r>
                            <w:rPr>
                              <w:sz w:val="24"/>
                              <w:szCs w:val="40"/>
                            </w:rPr>
                            <w:fldChar w:fldCharType="end"/>
                          </w:r>
                          <w:r>
                            <w:rPr>
                              <w:sz w:val="24"/>
                              <w:szCs w:val="40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7aJO4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GEsM0Kn768f30&#10;8+H06xvBGQRqXJgh7t4hMrbvbIu2Gc4DDhPvtvI6fcGIwA95jxd5RRsJT5emk+k0h4vDN2yAnz1e&#10;dz7E98JqkoyCetSvk5UdNiH2oUNIymbsWirV1VAZ0hT06vX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7aJO4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6F2225">
                    <w:pPr>
                      <w:pStyle w:val="4"/>
                      <w:rPr>
                        <w:sz w:val="24"/>
                        <w:szCs w:val="40"/>
                      </w:rPr>
                    </w:pPr>
                    <w:r>
                      <w:rPr>
                        <w:sz w:val="24"/>
                        <w:szCs w:val="40"/>
                      </w:rPr>
                      <w:t xml:space="preserve">— </w:t>
                    </w:r>
                    <w:r>
                      <w:rPr>
                        <w:sz w:val="24"/>
                        <w:szCs w:val="40"/>
                      </w:rPr>
                      <w:fldChar w:fldCharType="begin"/>
                    </w:r>
                    <w:r>
                      <w:rPr>
                        <w:sz w:val="24"/>
                        <w:szCs w:val="40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40"/>
                      </w:rPr>
                      <w:fldChar w:fldCharType="separate"/>
                    </w:r>
                    <w:r>
                      <w:rPr>
                        <w:sz w:val="24"/>
                        <w:szCs w:val="40"/>
                      </w:rPr>
                      <w:t>1</w:t>
                    </w:r>
                    <w:r>
                      <w:rPr>
                        <w:sz w:val="24"/>
                        <w:szCs w:val="40"/>
                      </w:rPr>
                      <w:fldChar w:fldCharType="end"/>
                    </w:r>
                    <w:r>
                      <w:rPr>
                        <w:sz w:val="24"/>
                        <w:szCs w:val="40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570A7"/>
    <w:rsid w:val="010158D6"/>
    <w:rsid w:val="011933C1"/>
    <w:rsid w:val="011E1168"/>
    <w:rsid w:val="01730582"/>
    <w:rsid w:val="039C3293"/>
    <w:rsid w:val="05161694"/>
    <w:rsid w:val="05960583"/>
    <w:rsid w:val="06BC73FE"/>
    <w:rsid w:val="0770011F"/>
    <w:rsid w:val="082525F9"/>
    <w:rsid w:val="08867638"/>
    <w:rsid w:val="0B9C06D5"/>
    <w:rsid w:val="0BDE0744"/>
    <w:rsid w:val="0D862963"/>
    <w:rsid w:val="0E8C4899"/>
    <w:rsid w:val="0E9E5ED7"/>
    <w:rsid w:val="139F1426"/>
    <w:rsid w:val="14C304AC"/>
    <w:rsid w:val="14D679FA"/>
    <w:rsid w:val="1565389E"/>
    <w:rsid w:val="18403F55"/>
    <w:rsid w:val="18786758"/>
    <w:rsid w:val="1C904AAB"/>
    <w:rsid w:val="1CC17F9B"/>
    <w:rsid w:val="1CD11494"/>
    <w:rsid w:val="1D653086"/>
    <w:rsid w:val="1DD421F0"/>
    <w:rsid w:val="1E005809"/>
    <w:rsid w:val="1E870613"/>
    <w:rsid w:val="1FB33B21"/>
    <w:rsid w:val="20356073"/>
    <w:rsid w:val="21026DD4"/>
    <w:rsid w:val="243F50BD"/>
    <w:rsid w:val="25827E99"/>
    <w:rsid w:val="259124D5"/>
    <w:rsid w:val="26333745"/>
    <w:rsid w:val="265170F2"/>
    <w:rsid w:val="26E36BE7"/>
    <w:rsid w:val="27513C7C"/>
    <w:rsid w:val="276145F5"/>
    <w:rsid w:val="29057462"/>
    <w:rsid w:val="2945741F"/>
    <w:rsid w:val="295C7F5B"/>
    <w:rsid w:val="29642175"/>
    <w:rsid w:val="29722EF5"/>
    <w:rsid w:val="29D02628"/>
    <w:rsid w:val="2B9B681F"/>
    <w:rsid w:val="30304FB0"/>
    <w:rsid w:val="31A82F4C"/>
    <w:rsid w:val="321204B0"/>
    <w:rsid w:val="32B32D9B"/>
    <w:rsid w:val="35282F35"/>
    <w:rsid w:val="3606236D"/>
    <w:rsid w:val="3613710F"/>
    <w:rsid w:val="37A176AF"/>
    <w:rsid w:val="38122438"/>
    <w:rsid w:val="38283B7D"/>
    <w:rsid w:val="38960C94"/>
    <w:rsid w:val="38EF69F5"/>
    <w:rsid w:val="3C1E60D7"/>
    <w:rsid w:val="3C73623A"/>
    <w:rsid w:val="3CD740E1"/>
    <w:rsid w:val="3F1600A5"/>
    <w:rsid w:val="3FBD55BD"/>
    <w:rsid w:val="3FEB77F3"/>
    <w:rsid w:val="405C6B27"/>
    <w:rsid w:val="40F23293"/>
    <w:rsid w:val="41401924"/>
    <w:rsid w:val="42FE1949"/>
    <w:rsid w:val="43337E46"/>
    <w:rsid w:val="43374B83"/>
    <w:rsid w:val="44662580"/>
    <w:rsid w:val="44944836"/>
    <w:rsid w:val="44AA7031"/>
    <w:rsid w:val="45B60547"/>
    <w:rsid w:val="469464ED"/>
    <w:rsid w:val="480A1F47"/>
    <w:rsid w:val="48371914"/>
    <w:rsid w:val="49704B7A"/>
    <w:rsid w:val="4B521B91"/>
    <w:rsid w:val="4B612EB6"/>
    <w:rsid w:val="4C325A71"/>
    <w:rsid w:val="4D7413A0"/>
    <w:rsid w:val="4E78611C"/>
    <w:rsid w:val="4EB90813"/>
    <w:rsid w:val="4F534CB9"/>
    <w:rsid w:val="4FDD6193"/>
    <w:rsid w:val="4FFA31DA"/>
    <w:rsid w:val="501863E5"/>
    <w:rsid w:val="512D6CA6"/>
    <w:rsid w:val="51510BE7"/>
    <w:rsid w:val="566F4B4C"/>
    <w:rsid w:val="57687215"/>
    <w:rsid w:val="57F3508E"/>
    <w:rsid w:val="5838665C"/>
    <w:rsid w:val="58482BCD"/>
    <w:rsid w:val="58740068"/>
    <w:rsid w:val="5C0F6371"/>
    <w:rsid w:val="5DDF7B22"/>
    <w:rsid w:val="5E8C3049"/>
    <w:rsid w:val="5EA2737D"/>
    <w:rsid w:val="5F250D31"/>
    <w:rsid w:val="60350178"/>
    <w:rsid w:val="610C368F"/>
    <w:rsid w:val="64260827"/>
    <w:rsid w:val="65313143"/>
    <w:rsid w:val="66094DC0"/>
    <w:rsid w:val="67B17439"/>
    <w:rsid w:val="69D41430"/>
    <w:rsid w:val="6A3E7D7B"/>
    <w:rsid w:val="6B514C65"/>
    <w:rsid w:val="6D413B2F"/>
    <w:rsid w:val="6D954CFB"/>
    <w:rsid w:val="6E05302D"/>
    <w:rsid w:val="6F906D7D"/>
    <w:rsid w:val="712B33A4"/>
    <w:rsid w:val="71957937"/>
    <w:rsid w:val="72214441"/>
    <w:rsid w:val="727F4CCA"/>
    <w:rsid w:val="73987B8B"/>
    <w:rsid w:val="74D3025C"/>
    <w:rsid w:val="74DA5E96"/>
    <w:rsid w:val="770C5288"/>
    <w:rsid w:val="77840C11"/>
    <w:rsid w:val="791F1C7A"/>
    <w:rsid w:val="79F619A6"/>
    <w:rsid w:val="7B9C053A"/>
    <w:rsid w:val="7B9E37E2"/>
    <w:rsid w:val="7B9E5568"/>
    <w:rsid w:val="7C9613F6"/>
    <w:rsid w:val="7CB77BE8"/>
    <w:rsid w:val="7D803D18"/>
    <w:rsid w:val="7DDF66ED"/>
    <w:rsid w:val="7E76768A"/>
    <w:rsid w:val="7EC12BB2"/>
    <w:rsid w:val="7F3C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420" w:firstLineChars="200"/>
      <w:jc w:val="both"/>
    </w:pPr>
    <w:rPr>
      <w:rFonts w:ascii="Times New Roman" w:hAnsi="Times New Roman" w:eastAsia="Times New Roman" w:cstheme="minorBidi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  <w:rPr>
      <w:rFonts w:ascii="Calibri" w:hAnsi="Calibri" w:eastAsia="宋体"/>
    </w:rPr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qFormat/>
    <w:uiPriority w:val="0"/>
    <w:pPr>
      <w:spacing w:line="300" w:lineRule="auto"/>
      <w:ind w:left="840" w:leftChars="400"/>
    </w:pPr>
    <w:rPr>
      <w:rFonts w:ascii="Times New Roman" w:hAnsi="Times New Roman" w:eastAsia="Times New Roman"/>
      <w:sz w:val="24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qFormat/>
    <w:uiPriority w:val="0"/>
    <w:pPr>
      <w:spacing w:line="300" w:lineRule="auto"/>
    </w:pPr>
    <w:rPr>
      <w:rFonts w:ascii="Times New Roman" w:hAnsi="Times New Roman" w:eastAsia="黑体"/>
      <w:sz w:val="24"/>
    </w:rPr>
  </w:style>
  <w:style w:type="paragraph" w:styleId="7">
    <w:name w:val="toc 2"/>
    <w:basedOn w:val="1"/>
    <w:next w:val="1"/>
    <w:qFormat/>
    <w:uiPriority w:val="0"/>
    <w:pPr>
      <w:spacing w:line="300" w:lineRule="auto"/>
      <w:ind w:left="420" w:leftChars="200"/>
    </w:pPr>
    <w:rPr>
      <w:rFonts w:ascii="Times New Roman" w:hAnsi="Times New Roman" w:eastAsia="Times New Roman"/>
      <w:sz w:val="24"/>
    </w:rPr>
  </w:style>
  <w:style w:type="character" w:styleId="10">
    <w:name w:val="Strong"/>
    <w:basedOn w:val="9"/>
    <w:qFormat/>
    <w:uiPriority w:val="0"/>
    <w:rPr>
      <w:b/>
    </w:rPr>
  </w:style>
  <w:style w:type="paragraph" w:customStyle="1" w:styleId="11">
    <w:name w:val="一级标题"/>
    <w:basedOn w:val="1"/>
    <w:qFormat/>
    <w:uiPriority w:val="0"/>
    <w:pPr>
      <w:spacing w:before="50" w:beforeLines="50" w:line="300" w:lineRule="auto"/>
      <w:ind w:firstLine="0" w:firstLineChars="0"/>
      <w:jc w:val="both"/>
    </w:pPr>
    <w:rPr>
      <w:rFonts w:ascii="Times New Roman" w:hAnsi="Times New Roman" w:eastAsia="黑体"/>
      <w:bCs/>
      <w:sz w:val="32"/>
      <w:szCs w:val="36"/>
    </w:rPr>
  </w:style>
  <w:style w:type="paragraph" w:customStyle="1" w:styleId="12">
    <w:name w:val="二级标题"/>
    <w:basedOn w:val="1"/>
    <w:qFormat/>
    <w:uiPriority w:val="0"/>
    <w:pPr>
      <w:spacing w:line="300" w:lineRule="auto"/>
      <w:ind w:firstLine="0" w:firstLineChars="0"/>
      <w:jc w:val="both"/>
    </w:pPr>
    <w:rPr>
      <w:rFonts w:ascii="Times New Roman" w:hAnsi="Times New Roman" w:eastAsia="黑体"/>
      <w:sz w:val="28"/>
      <w:szCs w:val="30"/>
    </w:rPr>
  </w:style>
  <w:style w:type="paragraph" w:customStyle="1" w:styleId="13">
    <w:name w:val="三级标题"/>
    <w:basedOn w:val="1"/>
    <w:qFormat/>
    <w:uiPriority w:val="0"/>
    <w:pPr>
      <w:spacing w:after="25" w:afterLines="25" w:line="300" w:lineRule="auto"/>
      <w:ind w:firstLine="0" w:firstLineChars="0"/>
      <w:jc w:val="both"/>
    </w:pPr>
    <w:rPr>
      <w:rFonts w:ascii="Times New Roman" w:hAnsi="Times New Roman" w:eastAsia="黑体" w:cs="Times New Roman"/>
      <w:sz w:val="24"/>
      <w:szCs w:val="22"/>
    </w:rPr>
  </w:style>
  <w:style w:type="paragraph" w:customStyle="1" w:styleId="14">
    <w:name w:val="正文部分"/>
    <w:basedOn w:val="1"/>
    <w:qFormat/>
    <w:uiPriority w:val="0"/>
    <w:pPr>
      <w:spacing w:after="25" w:afterLines="25" w:line="300" w:lineRule="auto"/>
      <w:ind w:firstLine="420" w:firstLineChars="200"/>
    </w:pPr>
    <w:rPr>
      <w:rFonts w:ascii="Times New Roman" w:hAnsi="Times New Roman" w:eastAsia="Times New Roman"/>
      <w:sz w:val="24"/>
    </w:rPr>
  </w:style>
  <w:style w:type="paragraph" w:customStyle="1" w:styleId="15">
    <w:name w:val="图表样式"/>
    <w:basedOn w:val="1"/>
    <w:qFormat/>
    <w:uiPriority w:val="0"/>
    <w:pPr>
      <w:spacing w:before="25" w:beforeLines="25" w:after="25" w:afterLines="25" w:line="300" w:lineRule="auto"/>
      <w:ind w:firstLine="0" w:firstLineChars="0"/>
      <w:jc w:val="center"/>
    </w:pPr>
    <w:rPr>
      <w:rFonts w:asciiTheme="minorAscii" w:hAnsiTheme="minorAscii" w:eastAsiaTheme="minorEastAsia"/>
      <w:sz w:val="21"/>
    </w:rPr>
  </w:style>
  <w:style w:type="paragraph" w:customStyle="1" w:styleId="16">
    <w:name w:val="图表解释"/>
    <w:basedOn w:val="1"/>
    <w:qFormat/>
    <w:uiPriority w:val="0"/>
    <w:pPr>
      <w:spacing w:after="50" w:afterLines="50" w:line="300" w:lineRule="auto"/>
      <w:ind w:firstLine="0" w:firstLineChars="0"/>
      <w:jc w:val="center"/>
    </w:pPr>
    <w:rPr>
      <w:rFonts w:ascii="Times New Roman" w:hAnsi="Times New Roman" w:eastAsia="宋体" w:cs="宋体"/>
      <w:sz w:val="21"/>
      <w:szCs w:val="21"/>
    </w:rPr>
  </w:style>
  <w:style w:type="paragraph" w:customStyle="1" w:styleId="17">
    <w:name w:val="公式等居中体"/>
    <w:basedOn w:val="1"/>
    <w:qFormat/>
    <w:uiPriority w:val="0"/>
    <w:pPr>
      <w:spacing w:line="300" w:lineRule="auto"/>
      <w:ind w:firstLine="0" w:firstLineChars="0"/>
      <w:jc w:val="center"/>
    </w:pPr>
    <w:rPr>
      <w:rFonts w:hint="eastAsia" w:ascii="Times New Roman" w:hAnsi="Times New Roman" w:eastAsia="Times New Roman"/>
      <w:sz w:val="24"/>
    </w:rPr>
  </w:style>
  <w:style w:type="paragraph" w:customStyle="1" w:styleId="18">
    <w:name w:val="新标题"/>
    <w:basedOn w:val="1"/>
    <w:qFormat/>
    <w:uiPriority w:val="0"/>
    <w:pPr>
      <w:spacing w:line="300" w:lineRule="auto"/>
      <w:ind w:firstLine="0" w:firstLineChars="0"/>
      <w:jc w:val="center"/>
    </w:pPr>
    <w:rPr>
      <w:rFonts w:eastAsia="黑体"/>
      <w:sz w:val="36"/>
      <w:szCs w:val="36"/>
    </w:rPr>
  </w:style>
  <w:style w:type="paragraph" w:customStyle="1" w:styleId="19">
    <w:name w:val="新副标题"/>
    <w:basedOn w:val="1"/>
    <w:qFormat/>
    <w:uiPriority w:val="0"/>
    <w:pPr>
      <w:spacing w:line="300" w:lineRule="auto"/>
      <w:jc w:val="right"/>
    </w:pPr>
    <w:rPr>
      <w:rFonts w:ascii="Times New Roman" w:hAnsi="Times New Roman" w:eastAsia="Times New Roman"/>
      <w:sz w:val="28"/>
      <w:szCs w:val="32"/>
    </w:rPr>
  </w:style>
  <w:style w:type="paragraph" w:customStyle="1" w:styleId="20">
    <w:name w:val="F2第二层样式"/>
    <w:basedOn w:val="1"/>
    <w:link w:val="21"/>
    <w:qFormat/>
    <w:uiPriority w:val="0"/>
    <w:pPr>
      <w:spacing w:after="50" w:afterLines="50" w:line="400" w:lineRule="exact"/>
      <w:jc w:val="both"/>
    </w:pPr>
    <w:rPr>
      <w:rFonts w:ascii="Times New Roman" w:hAnsi="Times New Roman" w:cs="Times New Roman" w:eastAsiaTheme="majorEastAsia"/>
      <w:b/>
      <w:color w:val="000000" w:themeColor="text1"/>
      <w:sz w:val="30"/>
      <w:szCs w:val="24"/>
      <w:lang w:eastAsia="zh-CN"/>
      <w14:textFill>
        <w14:solidFill>
          <w14:schemeClr w14:val="tx1"/>
        </w14:solidFill>
      </w14:textFill>
    </w:rPr>
  </w:style>
  <w:style w:type="character" w:customStyle="1" w:styleId="21">
    <w:name w:val="F2第二层样式 Char"/>
    <w:link w:val="20"/>
    <w:qFormat/>
    <w:uiPriority w:val="0"/>
    <w:rPr>
      <w:rFonts w:ascii="Times New Roman" w:hAnsi="Times New Roman" w:cs="Times New Roman" w:eastAsiaTheme="majorEastAsia"/>
      <w:b/>
      <w:color w:val="000000" w:themeColor="text1"/>
      <w:sz w:val="30"/>
      <w:szCs w:val="24"/>
      <w:lang w:eastAsia="zh-CN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../NUL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1533</Words>
  <Characters>1772</Characters>
  <Lines>0</Lines>
  <Paragraphs>0</Paragraphs>
  <TotalTime>21</TotalTime>
  <ScaleCrop>false</ScaleCrop>
  <LinksUpToDate>false</LinksUpToDate>
  <CharactersWithSpaces>1795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2025-04-03T15:25:00Z</dcterms:created>
  <dc:creator>HUAWEI</dc:creator>
  <cp:lastModifiedBy>阳同学Light</cp:lastModifiedBy>
  <dcterms:modified xsi:type="dcterms:W3CDTF">2026-03-30T12:49:37Z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CC72B3A325DE4674B81C4993DC4ED322</vt:lpwstr>
  </property>
  <property fmtid="{D5CDD505-2E9C-101B-9397-08002B2CF9AE}" pid="4" name="KSOTemplateDocerSaveRecord">
    <vt:lpwstr>eyJoZGlkIjoiMzEwNTM5NzYwMDRjMzkwZTVkZjY2ODkwMGIxNGU0OTUiLCJ1c2VySWQiOiI5MzQ5NTI0ODkifQ==</vt:lpwstr>
  </property>
</Properties>
</file>