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父组件调用子组件的方法</w:t>
      </w:r>
    </w:p>
    <w:p>
      <w:pPr>
        <w:numPr>
          <w:numId w:val="0"/>
        </w:numPr>
      </w:pPr>
      <w:r>
        <w:drawing>
          <wp:inline distT="0" distB="0" distL="114300" distR="114300">
            <wp:extent cx="4419600" cy="3781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调用子组件时为子组件添加属性ref，则可通过this.$refs.xx获取到子组件的相关属性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2F1A1"/>
    <w:multiLevelType w:val="singleLevel"/>
    <w:tmpl w:val="3BA2F1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C5DC2"/>
    <w:rsid w:val="5A68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2019-03-13T13:00:51Z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