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3510" w:val="left"/>
          <w:tab w:leader="none" w:pos="871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第</w:t>
      </w:r>
      <w:r>
        <w:rPr>
          <w:rStyle w:val="CharStyle5"/>
        </w:rPr>
        <w:t>8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卷第</w:t>
      </w:r>
      <w:r>
        <w:rPr>
          <w:rStyle w:val="CharStyle5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期</w:t>
      </w:r>
      <w:r>
        <w:rPr>
          <w:rStyle w:val="CharStyle5"/>
          <w:lang w:val="zh-TW" w:eastAsia="zh-TW" w:bidi="zh-TW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湖南农业大学学报</w:t>
      </w:r>
      <w:r>
        <w:rPr>
          <w:rStyle w:val="CharStyle5"/>
          <w:lang w:val="zh-TW" w:eastAsia="zh-TW" w:bidi="zh-TW"/>
        </w:rPr>
        <w:t>(</w:t>
      </w:r>
      <w:r>
        <w:rPr>
          <w:lang w:val="zh-TW" w:eastAsia="zh-TW" w:bidi="zh-TW"/>
          <w:w w:val="100"/>
          <w:spacing w:val="0"/>
          <w:color w:val="000000"/>
          <w:position w:val="0"/>
        </w:rPr>
        <w:t>社会科学版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rStyle w:val="CharStyle5"/>
        </w:rPr>
        <w:tab/>
        <w:t xml:space="preserve">Vol. </w:t>
      </w:r>
      <w:r>
        <w:rPr>
          <w:rStyle w:val="CharStyle5"/>
          <w:lang w:val="zh-TW" w:eastAsia="zh-TW" w:bidi="zh-TW"/>
        </w:rPr>
        <w:t xml:space="preserve">8 </w:t>
      </w:r>
      <w:r>
        <w:rPr>
          <w:rStyle w:val="CharStyle5"/>
        </w:rPr>
        <w:t xml:space="preserve">No. </w:t>
      </w:r>
      <w:r>
        <w:rPr>
          <w:rStyle w:val="CharStyle5"/>
          <w:lang w:val="zh-TW" w:eastAsia="zh-TW" w:bidi="zh-TW"/>
        </w:rPr>
        <w:t>2</w:t>
      </w:r>
    </w:p>
    <w:p>
      <w:pPr>
        <w:pStyle w:val="Style10"/>
        <w:tabs>
          <w:tab w:leader="none" w:pos="2568" w:val="left"/>
          <w:tab w:leader="none" w:pos="8714" w:val="left"/>
        </w:tabs>
        <w:widowControl w:val="0"/>
        <w:keepNext w:val="0"/>
        <w:keepLines w:val="0"/>
        <w:shd w:val="clear" w:color="auto" w:fill="auto"/>
        <w:bidi w:val="0"/>
        <w:spacing w:before="0" w:after="535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2007 </w:t>
      </w:r>
      <w:r>
        <w:rPr>
          <w:rStyle w:val="CharStyle12"/>
        </w:rPr>
        <w:t>年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 4 </w:t>
      </w:r>
      <w:r>
        <w:rPr>
          <w:rStyle w:val="CharStyle12"/>
        </w:rPr>
        <w:t>月</w:t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</w:r>
      <w:r>
        <w:rPr>
          <w:w w:val="100"/>
          <w:spacing w:val="0"/>
          <w:color w:val="000000"/>
          <w:position w:val="0"/>
        </w:rPr>
        <w:t>Journal of Hunan Agricultural University (Social Sciences)</w:t>
        <w:tab/>
        <w:t>Apr. 2007</w:t>
      </w:r>
    </w:p>
    <w:p>
      <w:pPr>
        <w:pStyle w:val="Style13"/>
        <w:widowControl w:val="0"/>
        <w:keepNext/>
        <w:keepLines/>
        <w:shd w:val="clear" w:color="auto" w:fill="auto"/>
        <w:bidi w:val="0"/>
        <w:spacing w:before="0" w:after="438" w:line="340" w:lineRule="exact"/>
        <w:ind w:left="20" w:right="0" w:firstLine="0"/>
      </w:pPr>
      <w:bookmarkStart w:id="0" w:name="bookmark0"/>
      <w:r>
        <w:rPr>
          <w:lang w:val="zh-TW" w:eastAsia="zh-TW" w:bidi="zh-TW"/>
          <w:w w:val="100"/>
          <w:spacing w:val="0"/>
          <w:color w:val="000000"/>
          <w:position w:val="0"/>
        </w:rPr>
        <w:t>论大学生学习动力系统的优化</w:t>
      </w:r>
      <w:bookmarkEnd w:id="0"/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98" w:line="190" w:lineRule="exact"/>
        <w:ind w:left="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周贤君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(湖南农业大学学生工作部，湖南长沙</w:t>
      </w:r>
      <w:r>
        <w:rPr>
          <w:lang w:val="en-US" w:eastAsia="en-US" w:bidi="en-US"/>
          <w:w w:val="100"/>
          <w:spacing w:val="0"/>
          <w:color w:val="000000"/>
          <w:position w:val="0"/>
        </w:rPr>
        <w:t>410128)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155" w:line="278" w:lineRule="exact"/>
        <w:ind w:left="400" w:right="52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摘要：学习动力系统包括两个子系统，即内部动力系统和外部动力系统。优化学习动力系统具有激发学习的积极性， 挖掘学习的潜能，调节学习活动的作用。结合当代大学生学习动力的现状，分析了影响大学生学习动力的因素，提出了 优化大学生学习动力的策略：一是培养动机，激发兴趣，增强内动力；二是改善条件，严格管理，强化外动力；三是找 准结合点，实现内外动力的优化。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101" w:line="160" w:lineRule="exact"/>
        <w:ind w:left="4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关键词：大学生；学习动力系统；优化策略</w:t>
      </w:r>
    </w:p>
    <w:p>
      <w:pPr>
        <w:pStyle w:val="Style17"/>
        <w:tabs>
          <w:tab w:leader="none" w:pos="3510" w:val="left"/>
          <w:tab w:leader="none" w:pos="59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0" w:right="0" w:firstLine="0"/>
        <w:sectPr>
          <w:headerReference w:type="even" r:id="rId5"/>
          <w:headerReference w:type="default" r:id="rId6"/>
          <w:headerReference w:type="first" r:id="rId7"/>
          <w:titlePg/>
          <w:footnotePr>
            <w:pos w:val="pageBottom"/>
            <w:numFmt w:val="decimal"/>
            <w:numRestart w:val="continuous"/>
          </w:footnotePr>
          <w:pgSz w:w="11900" w:h="16840"/>
          <w:pgMar w:top="1052" w:left="1104" w:right="1104" w:bottom="1498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中图分类号：</w:t>
      </w:r>
      <w:r>
        <w:rPr>
          <w:rStyle w:val="CharStyle19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642</w:t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文献标识码</w:t>
      </w:r>
      <w:r>
        <w:rPr>
          <w:rStyle w:val="CharStyle19"/>
          <w:lang w:val="zh-TW" w:eastAsia="zh-TW" w:bidi="zh-TW"/>
        </w:rPr>
        <w:t>：</w:t>
      </w:r>
      <w:r>
        <w:rPr>
          <w:rStyle w:val="CharStyle19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文章编号：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1009-2013(2007)02-</w:t>
      </w:r>
      <w:r>
        <w:rPr>
          <w:lang w:val="zh-TW" w:eastAsia="zh-TW" w:bidi="zh-TW"/>
          <w:w w:val="100"/>
          <w:spacing w:val="0"/>
          <w:color w:val="000000"/>
          <w:position w:val="0"/>
        </w:rPr>
        <w:t>⑻</w:t>
      </w:r>
      <w:r>
        <w:rPr>
          <w:lang w:val="en-US" w:eastAsia="en-US" w:bidi="en-US"/>
          <w:w w:val="100"/>
          <w:spacing w:val="0"/>
          <w:color w:val="000000"/>
          <w:position w:val="0"/>
        </w:rPr>
        <w:t>72-02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5" w:after="1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210" w:left="0" w:right="0" w:bottom="769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18" w:line="312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在心理学中，“动力"一词含有力、能量和活动 等意义，包括所有决定有机体行为的内在或潜在因素。 学习动力由学习兴趣、学习情绪、学习态度和个性特 征等各种因素组成。它不直接介入学习，而是激发学 习的积极性，挖掘学习的潜能，调节学习活动的进行, 具有始动、定向、引导、维持、调节、强化、升华等 功能。大学生在校期间的学习过程受多方面因素影响， 学习动力所起的作用最大</w:t>
      </w:r>
      <w:r>
        <w:rPr>
          <w:lang w:val="zh-TW" w:eastAsia="zh-TW" w:bidi="zh-TW"/>
          <w:vertAlign w:val="superscript"/>
          <w:w w:val="100"/>
          <w:spacing w:val="0"/>
          <w:color w:val="000000"/>
          <w:position w:val="0"/>
        </w:rPr>
        <w:t>[1]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74" w:line="190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一、大学生学习动力系统分析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学习动力系统包括两个子系统，即内部动力系统 和外部动力系统</w:t>
      </w:r>
      <w:r>
        <w:rPr>
          <w:lang w:val="zh-TW" w:eastAsia="zh-TW" w:bidi="zh-TW"/>
          <w:vertAlign w:val="superscript"/>
          <w:w w:val="100"/>
          <w:spacing w:val="0"/>
          <w:color w:val="000000"/>
          <w:position w:val="0"/>
        </w:rPr>
        <w:t>[2]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。系统内各要素相互作用，相互制 约，共同调节大学生的学习心理，形成大学生良好的 心理适应能力和学习行为。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2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学习内部动力系统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170" w:line="312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学习内部动力系统是指存在于人的主观意识之内 的、能推动个体从事学习活动的各种力量构成的有机 整体。大学生学习的内部动力是推动学生从事学习活 动第一位的主导动力，包括学习的需要、学习愿望、 学习兴趣与爱好、学习动机、理想信念等内部因素。 内部动力系统中的各个要素相互作用，相互影响，各 个要素对学习活动产生的作用也各不相同。学习的需 要是学习活动的原始动力。学习是_种精神活动，属 于自我实现一级的最高需要层次。要开发大学生的学 习动力，关键是要采取各种措施促使学生把学习的需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收稿日期：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2007-03-15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基金项目：湖南农业大学大学生思想政治教育专项课题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(2006)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作者简介：周贤君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(1964-),</w:t>
      </w:r>
      <w:r>
        <w:rPr>
          <w:lang w:val="zh-TW" w:eastAsia="zh-TW" w:bidi="zh-TW"/>
          <w:w w:val="100"/>
          <w:spacing w:val="0"/>
          <w:color w:val="000000"/>
          <w:position w:val="0"/>
        </w:rPr>
        <w:t>男，湖南新田人，副教授，博 士研究生，研究方向为大学生思想政治教育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要变成自己最大的需要，使其成为更稳定、更持久的行 为动力。学习兴趣与爱好是产生学习动力的源泉，人只 有对某事物产生浓厚的兴趣时，才会产生控制、掌握、 驾驭该事物的动力。对于大学生来说，有了对学习的浓 厚兴趣与爱好，学习就会不再是一种负担，而是充满成 就感的愉悦身心的乐趣和人生享受，从而进_步增强求 知的欲望和兴趣。学习动机是学习需要的一种表现形 式。学习需要是产生学习动机的基础，大学生要有学习 动机，就必须有学习的需要以及满足需要的愿望，同时 还必须确立满足需要的具体目标。理想信念是保证学习 动力稳固持久的重要因素。大学生只有树立了崇高的理 想、坚定的信念，才能驱使他们勇往直前、始终不渝地 追求，最终达到个人成才的目标。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2．学习外部动力系统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18" w:line="312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学习外部动力系统存在于个体外部能够激发并推 动个体学习活动的各种要素相互作用构成的整体，包 括社会需要、家庭期望、激励机制、竞争机制、学习 环境、实践活动等。社会需要是大学生确立成才目标 的依据；家庭期望是大学生学习的重要外部动力；激 励机制是学习的外部动力向内部动力转换的重要手 段，是教育者把学校内部的奖惩办法用于调动学生学 习积极性的一种手段和途径，通过激励学生，使学生 产生完成学习任务的强烈兴趣。竞争机制是调动学生 学习积极性的活动载体。学习环境对大学生的学习动 力产生直接的影响，通过不断改善教育基础设施，完 善教育教学手段和方法，加强校风、教风、学风、考 风建设等措施，为大学生的学习营造浓厚的学习氛围， 使学生受到有益的熏陶和感染，从而产生学习愿望的 动力。实践活动是学生检验学习效果的实验地。通过 各种形式的课外社会实践活动，让学生在实践中学知 识、长才干，了解社会对人才的需求，按社会对人才 需求寻找自己的差距，从而自觉地提高学习兴趣</w:t>
      </w:r>
      <w:r>
        <w:rPr>
          <w:lang w:val="zh-TW" w:eastAsia="zh-TW" w:bidi="zh-TW"/>
          <w:vertAlign w:val="superscript"/>
          <w:w w:val="100"/>
          <w:spacing w:val="0"/>
          <w:color w:val="000000"/>
          <w:position w:val="0"/>
        </w:rPr>
        <w:t>[3]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9" w:line="190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二、影响大学生学习动力的因素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笔者于2004年6月对某高校500名学生的学习动 力进行了调查，结果表明当前大学生学习动力现状主 流是好的。但也有相当一部分学生学习动力不足：有 40%的学生无明确的学习目标；有16%的学生学习是 得过且过，混日子；有44%的学生认为学习是迫于就 业压力，还有5%的学生认为学习是父母亲的压力。 80%的学生在校期间有缺课或偶尔缺课的现象。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影响大学生学习动力的因素可分为外部因素和内 部因素两个方面：</w:t>
      </w:r>
    </w:p>
    <w:p>
      <w:pPr>
        <w:pStyle w:val="Style15"/>
        <w:numPr>
          <w:ilvl w:val="0"/>
          <w:numId w:val="1"/>
        </w:numPr>
        <w:tabs>
          <w:tab w:leader="none" w:pos="7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影响大学生学习动力的外部因素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—是社会因素。随着社会转型期的到来，人们的 价值观发生了变化，效率优先原则替代了公平优先原 则，重功利的价值观替代了重义轻利的价值观。这些 都对大学生的世界观、人生观发展产生了深刻的影响， 影响到大学生的学习动力。市场经济的负面效应，诸 如个人主义、拜金主义等不良倾向，导致整个社会的 急功近利风气蔓延，投机心理滋长，片面追求经济效 益，对知识和人才尊重不够的现象，致使部分学生学 习目的不明确，学习热情下降，学习态度不端正。此 外，学生就业竞争日趋激烈和就业中的不公平现象以 及大学毕业生四处求职的尴尬场面，助长了厌学风、 关系风的蔓延，大学生感觉到前途渺茫，自信心不足。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二是学校因素。高校扩招后，学校硬件和软件设 施均没有得到充分改善：教学设施建设滞后，满足不 了大学生的学习需求，影响了学生的学习积极性；教 师教学内容与教学方式陈旧落后，教学计划安排不合 理，部分教师的教风和治学态度不佳，没有做到“因材 施教”，学生感到索然无味，极大地影响了学习动力； 学籍管理制度、学习评价体系还不完善，教风、学风、 考风不严谨，学生学习压力不够，动力当然不足。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三是家庭因素。大学生中独生子女居多，家庭经 济地位、政治地位相对较高，家庭成员的社会关系基 础较好，优越性强，缺少吃苦耐劳精神。进入学校后 无远大的学习目标，不求进取。</w:t>
      </w:r>
    </w:p>
    <w:p>
      <w:pPr>
        <w:pStyle w:val="Style15"/>
        <w:numPr>
          <w:ilvl w:val="0"/>
          <w:numId w:val="1"/>
        </w:numPr>
        <w:tabs>
          <w:tab w:leader="none" w:pos="7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影响大学生学习动力的内部因素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0" w:right="0" w:firstLine="44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是学习目的不明确，注重短期功利性行为。在 功利主义思想的影响下，部分大学生缺乏远大理想， 没有树立正确的人生观，缺乏社会责任感，少数学生 学习的目的不是为了掌握科学文化知识、提高自身综 合素质，而是为了获取文凭、谋求理想职业、提高社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会地位，报答父母及家人。一些学生为了能够适应对 将来社会的竞争压力，不注重理论学习和钻研，而是 过多地投身入于各种活动，以求在组织能力和社会活 动能力上有更大的收获，学习目标偏离。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二是专业思想不牢固，缺乏学习兴趣。其原因大 致有两个方面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：一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是高考分数的限制和高考填报志愿 遵从父母的意愿，使他们几乎失去了选择理想学校与 专业的资格，所学专业多数是迫于无奈，并非自己所 愿的专业，由此产生了厌学情绪和逃学现象。二是对 所学专业的社会影响力和实力缺乏信心，对所学专业 缺乏兴趣。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74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三是自信心不强。部分学生进入大学后在与众多 强者的竞争中成绩落后，自信心受到打击，他们不从 主观努力上和学习方法上找原因，片面认定是自己的 学习能力低，产生力不从心之感。还有部分来自家庭 经济困难的学生，自感低人一等，自卑感强并将自卑 情绪带入学习当中，影响了完成学业的信心。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78" w:line="190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三、大学生学习动力系统优化策略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学习动力的强弱决定着大学生的学习效果，高等 学校要培养出高质量的人才，需要采取科学有效的策 略，从学习动力的各影响因素入手，不断优化学习动 力系统，增强大学生学习动力。</w:t>
      </w:r>
    </w:p>
    <w:p>
      <w:pPr>
        <w:pStyle w:val="Style15"/>
        <w:numPr>
          <w:ilvl w:val="0"/>
          <w:numId w:val="3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培养动机，激发兴趣，增强内动力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首先，要强化学习动机。学校要加强世界观、人 生观、价值观教育，使大学生认识到自己肩负的历史 使命，增强民族责任感、社会责任感和时代紧迫感， 使社会和教育的外部要求转化为大学生的内在需要。 教师在教学过程中要更新知识，唤起学习的好奇心和 探索行为，培养学生的学习动机。其次，要培养学习 兴趣。学校要采取多种途径和方法，开展丰富多彩的 课外学习活动和社会实践活动，培养学习的学习兴趣, 挖掘学生学习潜能，如：邀请学有所成的校友来学校 作报告或召开座谈会，开展"专业导学"活动等，使 大学生亲身体验和感受到成功者的创业之路，从而热 爱专业，提高学习兴趣。</w:t>
      </w:r>
    </w:p>
    <w:p>
      <w:pPr>
        <w:pStyle w:val="Style15"/>
        <w:numPr>
          <w:ilvl w:val="0"/>
          <w:numId w:val="3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改善条件，严格管理，强化外动力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首先，要深化教学改革。改革传统的"填鸭式"教 学模式，使教学由"知识传授型"向"综合思维能力 训练型"转变，增强教学内容的新颖性、形象性和多样 性，使学生在可接受的范围内获得愉快的情感体验，养 成创造性的思维和主动的学习习惯。在教学管理方面， 要切实加强教风、学风、考风建设，加快"学分制"和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下转第84页）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团要培养会员自我管理和学习的意识，同时重视培训 教育，建立不断学习新知识的机制来保障自身的可持 续性发展。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3)</w:t>
      </w:r>
      <w:r>
        <w:rPr>
          <w:lang w:val="zh-TW" w:eastAsia="zh-TW" w:bidi="zh-TW"/>
          <w:w w:val="100"/>
          <w:spacing w:val="0"/>
          <w:color w:val="000000"/>
          <w:position w:val="0"/>
        </w:rPr>
        <w:t>注重团队精神，建立伙伴关系。团队精 神是人本管理得以存在和发展的内在动力和精神支 柱。它在管理中充分显示出成员对团队的强烈归属感, 工作中相互协作、尽心尽力。在团队精神的支配下， 团队成员将会以主人翁精神，努力自觉去维护团队的 集体荣誉，自觉以团队的整体利益来约束自己的行为， 并自愿将自己的聪明才智贡献给团队从而也使自身得 到更为全面的发展。这正是人本管理的目的与要求</w:t>
      </w:r>
      <w:r>
        <w:rPr>
          <w:lang w:val="zh-TW" w:eastAsia="zh-TW" w:bidi="zh-TW"/>
          <w:vertAlign w:val="superscript"/>
          <w:w w:val="100"/>
          <w:spacing w:val="0"/>
          <w:color w:val="000000"/>
          <w:position w:val="0"/>
        </w:rPr>
        <w:t>[5]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 成立于1989年的北京大学山鹰社是全国首家以登山、 攀岩为主要活动的学生社团。该社团的精神就是“存 鹰之心于高远，取鹰之志而凌云，习鹰之性以涉险， 融鹰之神在山巅”，以走向自然、征服自我，发扬青 年人不畏艰难、勇于进取、追求卓越精神为宗旨。目 前，该社已成为北京大学第一大社团，其影响力和规 模实力名列北大十佳社团之首。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4)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重视荣誉奖励和物 质激励。荣誉奖励主要让会员感觉到自身的成绩和贡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402" w:line="317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献，激励其他会员追赶。因此，对于有贡献的会员可 适当采取物质激励，鼓励其行为，而对于无所作为、 破坏社团声誉的会员则要采取通报批评和末位淘汰的 惩罚办法。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85" w:line="190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参考文献：</w:t>
      </w:r>
    </w:p>
    <w:p>
      <w:pPr>
        <w:pStyle w:val="Style17"/>
        <w:numPr>
          <w:ilvl w:val="0"/>
          <w:numId w:val="5"/>
        </w:numPr>
        <w:tabs>
          <w:tab w:leader="none" w:pos="3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李金明，刘尊旭，吴松.高校社团企业化运作模式初探 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>黑龙江高教研究，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2003(6): 53-55.</w:t>
      </w:r>
    </w:p>
    <w:p>
      <w:pPr>
        <w:pStyle w:val="Style17"/>
        <w:numPr>
          <w:ilvl w:val="0"/>
          <w:numId w:val="5"/>
        </w:numPr>
        <w:tabs>
          <w:tab w:leader="none" w:pos="3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罗伯特•海尔布伦纳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经济学的秘密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海口：海南出 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2001.</w:t>
      </w:r>
    </w:p>
    <w:p>
      <w:pPr>
        <w:pStyle w:val="Style17"/>
        <w:numPr>
          <w:ilvl w:val="0"/>
          <w:numId w:val="5"/>
        </w:numPr>
        <w:tabs>
          <w:tab w:leader="none" w:pos="3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傅明贤.行政组织学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北京：高等教育出版社，1991: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12.</w:t>
      </w:r>
    </w:p>
    <w:p>
      <w:pPr>
        <w:pStyle w:val="Style17"/>
        <w:numPr>
          <w:ilvl w:val="0"/>
          <w:numId w:val="5"/>
        </w:numPr>
        <w:tabs>
          <w:tab w:leader="none" w:pos="3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赵炳起.人本管理:高校人事管理的核心</w:t>
      </w:r>
      <w:r>
        <w:rPr>
          <w:rStyle w:val="CharStyle1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南京政治学院 学报，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2003(3): 77-80.</w:t>
      </w:r>
    </w:p>
    <w:p>
      <w:pPr>
        <w:pStyle w:val="Style17"/>
        <w:numPr>
          <w:ilvl w:val="0"/>
          <w:numId w:val="5"/>
        </w:numPr>
        <w:tabs>
          <w:tab w:leader="none" w:pos="3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3" w:line="269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赖偭心.企业人本管理引发的思考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EB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19"/>
        </w:rPr>
        <w:t>OL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]. </w:t>
      </w:r>
      <w:r>
        <w:fldChar w:fldCharType="begin"/>
      </w:r>
      <w:r>
        <w:rPr>
          <w:rStyle w:val="CharStyle19"/>
        </w:rPr>
        <w:instrText> HYPERLINK "http://www.fjtk"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://</w:t>
      </w:r>
      <w:r>
        <w:rPr>
          <w:rStyle w:val="Hyperlink"/>
        </w:rPr>
        <w:t>www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.</w:t>
      </w:r>
      <w:r>
        <w:rPr>
          <w:rStyle w:val="Hyperlink"/>
        </w:rPr>
        <w:t>fjtk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19"/>
        </w:rPr>
        <w:t>com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19"/>
        </w:rPr>
        <w:t>cn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19"/>
        </w:rPr>
        <w:t>news</w:t>
      </w:r>
      <w:r>
        <w:rPr>
          <w:lang w:val="en-US" w:eastAsia="en-US" w:bidi="en-US"/>
          <w:w w:val="100"/>
          <w:spacing w:val="0"/>
          <w:color w:val="000000"/>
          <w:position w:val="0"/>
        </w:rPr>
        <w:t>/2004/01/8.</w:t>
      </w:r>
      <w:r>
        <w:rPr>
          <w:rStyle w:val="CharStyle19"/>
        </w:rPr>
        <w:t>htm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600" w:right="0" w:firstLine="0"/>
        <w:sectPr>
          <w:type w:val="continuous"/>
          <w:pgSz w:w="11900" w:h="16840"/>
          <w:pgMar w:top="1210" w:left="1100" w:right="1087" w:bottom="769" w:header="0" w:footer="3" w:gutter="0"/>
          <w:rtlGutter w:val="0"/>
          <w:cols w:num="2" w:space="352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责任编辑：黄燕妮</w:t>
      </w:r>
    </w:p>
    <w:p>
      <w:pPr>
        <w:widowControl w:val="0"/>
        <w:spacing w:before="54" w:after="5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757" w:left="0" w:right="0" w:bottom="149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11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上接第73页）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“弹性学制”实施，制定柔性教学计划，调动教与学两 方面的积极性，实行教考分离，严格考试纪律。其次， 要着力改善教学条件。学习心理极易受外界环境和学 习条件的影响，产生不利于学习动力系统自我调控的、 不稳定的心理环境。为学生提供一个宽松、愉悦的外部 学习环境，使大学生形成相对稳定的学习心理，促进学 习动力系统积极作用得以有效的发挥。第三，要强化就 业指导。学校在就业指导工作中，要建立健全激励学生 学习的各种奖励机制，真正做到公正公平公开，优胜劣 汰，让学习好、能力强的学生通过竞争找到较为理想的 工作，同时要努力开拓毕业生就业市场，让优秀学生有 相对的选择空间，从而找到自己理想的工作。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4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3 •找准结合点，实现内外动力的转换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402" w:line="317" w:lineRule="exact"/>
        <w:ind w:left="0" w:right="0" w:firstLine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学习动力是一个综合的动态系统，要加强引导， 使内外动力融合互济、相互促进，形成一个动态的良 性循环，以期达到最佳效果，推动学习活动顺利进行。 学校要善于将国家、社会责任和大学生个人发展需要 有效地统一在一起,为学生制订科学合理的目标体系。 目标体系可由强制目标和激励目标组成</w:t>
      </w:r>
      <w:r>
        <w:rPr>
          <w:lang w:val="zh-TW" w:eastAsia="zh-TW" w:bidi="zh-TW"/>
          <w:vertAlign w:val="superscript"/>
          <w:w w:val="100"/>
          <w:spacing w:val="0"/>
          <w:color w:val="000000"/>
          <w:position w:val="0"/>
        </w:rPr>
        <w:t>[4]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。强制目标 包括政治思想表现、学习成绩、英语、计算机过级考 试等所必需达到的要求，作用在学生身上体现为一种 压力。设计强制目标要“适度”，要赋予一定的挑战 性。目标太低，学生容易达到，起不到激励作用；目 标太高，学生不能实现，就会失去信心，降低自我效 能感。激励目标是大学生达到顺利完成学业的基本要 求后可自由选择的更高的发展方向，如考研、科研能 力、创新能力、社会活动能力锻炼等等。激励目标表 现为一种主动进取精神，具有长期性和导向性。该目 标体系应是一个动态的系统，应定期给予修改调整， 要做到与时倶进。设计目标要与学生互动，这样学生 才会有完成目标的强烈愿望和积极性。目标体系的制 定，使学生更加明白大学各阶段的目标，一方面加强 对大学生的目标引导；另一方面，使学生运用目标管 理法对自己的大学学习生活实施目标管理，结合其内 在学习需要，充分发挥自主意识和主观能动性，主动 利用好外部有利条件，从而有效增强学习动力。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77" w:line="190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参考文献：</w:t>
      </w:r>
    </w:p>
    <w:p>
      <w:pPr>
        <w:pStyle w:val="Style17"/>
        <w:numPr>
          <w:ilvl w:val="0"/>
          <w:numId w:val="7"/>
        </w:numPr>
        <w:tabs>
          <w:tab w:leader="none" w:pos="3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黄益萍.新时期大学生学习动力来源及影响因素研究 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南昌航空工业学院学报：社会科学版，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2005(2): 91-94.</w:t>
      </w:r>
    </w:p>
    <w:p>
      <w:pPr>
        <w:pStyle w:val="Style17"/>
        <w:numPr>
          <w:ilvl w:val="0"/>
          <w:numId w:val="7"/>
        </w:numPr>
        <w:tabs>
          <w:tab w:leader="none" w:pos="3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袁秀珍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关于构建当代大学生学习动力机制的思考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经 济师，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2005(4): 95-97.</w:t>
      </w:r>
    </w:p>
    <w:p>
      <w:pPr>
        <w:pStyle w:val="Style17"/>
        <w:numPr>
          <w:ilvl w:val="0"/>
          <w:numId w:val="7"/>
        </w:numPr>
        <w:tabs>
          <w:tab w:leader="none" w:pos="3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唐琳.网络信息时代大学学习观的若干新内涵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湖南 农业大学学报：社会科学版，2⑻6,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7(2): 68-70.</w:t>
      </w:r>
    </w:p>
    <w:p>
      <w:pPr>
        <w:pStyle w:val="Style17"/>
        <w:numPr>
          <w:ilvl w:val="0"/>
          <w:numId w:val="7"/>
        </w:numPr>
        <w:tabs>
          <w:tab w:leader="none" w:pos="3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5" w:line="259" w:lineRule="exact"/>
        <w:ind w:left="420" w:right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程海丰.大学生学习动力的调查与对策</w:t>
      </w:r>
      <w:r>
        <w:rPr>
          <w:rStyle w:val="CharStyle1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淅江教育学院 学报，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2003(4): 64-67.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6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责任编辑：黄燕妮</w:t>
      </w:r>
    </w:p>
    <w:sectPr>
      <w:type w:val="continuous"/>
      <w:pgSz w:w="11900" w:h="16840"/>
      <w:pgMar w:top="1757" w:left="1109" w:right="1104" w:bottom="1493" w:header="0" w:footer="3" w:gutter="0"/>
      <w:rtlGutter w:val="0"/>
      <w:cols w:num="2" w:space="369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05pt;margin-top:47.35pt;width:480.95pt;height:8.6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6451" w:val="right"/>
                    <w:tab w:leader="none" w:pos="961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"/>
                  </w:rPr>
                  <w:t>第8卷第2期</w:t>
                  <w:tab/>
                  <w:t>周贤君论大学生学习动力系统的优化</w:t>
                  <w:tab/>
                  <w:t>73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6.7pt;margin-top:47.1pt;width:479.5pt;height:8.9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6226" w:val="right"/>
                    <w:tab w:leader="none" w:pos="959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"/>
                  </w:rPr>
                  <w:t>84</w:t>
                  <w:tab/>
                </w:r>
                <w:r>
                  <w:rPr>
                    <w:rStyle w:val="CharStyle9"/>
                    <w:lang w:val="zh-TW" w:eastAsia="zh-TW" w:bidi="zh-TW"/>
                  </w:rPr>
                  <w:t>湖南农业大学学报(社会科学版</w:t>
                </w:r>
                <w:r>
                  <w:rPr>
                    <w:rStyle w:val="CharStyle9"/>
                  </w:rPr>
                  <w:t>)</w:t>
                  <w:tab/>
                </w:r>
                <w:r>
                  <w:rPr>
                    <w:rStyle w:val="CharStyle20"/>
                  </w:rPr>
                  <w:t>2007年4月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4.9pt;margin-top:2.7pt;width:151.9pt;height:8.4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DOI</w:t>
                </w:r>
                <w:r>
                  <w:rPr>
                    <w:rStyle w:val="CharStyle9"/>
                  </w:rPr>
                  <w:t>:10.13331/</w:t>
                </w:r>
                <w:r>
                  <w:rPr>
                    <w:rStyle w:val="CharStyle8"/>
                  </w:rPr>
                  <w:t>j</w:t>
                </w:r>
                <w:r>
                  <w:rPr>
                    <w:rStyle w:val="CharStyle9"/>
                  </w:rPr>
                  <w:t>.</w:t>
                </w:r>
                <w:r>
                  <w:rPr>
                    <w:rStyle w:val="CharStyle8"/>
                  </w:rPr>
                  <w:t>cnki</w:t>
                </w:r>
                <w:r>
                  <w:rPr>
                    <w:rStyle w:val="CharStyle9"/>
                  </w:rPr>
                  <w:t>.</w:t>
                </w:r>
                <w:r>
                  <w:rPr>
                    <w:rStyle w:val="CharStyle8"/>
                  </w:rPr>
                  <w:t>jhau</w:t>
                </w:r>
                <w:r>
                  <w:rPr>
                    <w:rStyle w:val="CharStyle9"/>
                  </w:rPr>
                  <w:t>(</w:t>
                </w:r>
                <w:r>
                  <w:rPr>
                    <w:rStyle w:val="CharStyle8"/>
                  </w:rPr>
                  <w:t>ss</w:t>
                </w:r>
                <w:r>
                  <w:rPr>
                    <w:rStyle w:val="CharStyle9"/>
                  </w:rPr>
                  <w:t>).2007.02.021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MingLiU" w:eastAsia="MingLiU" w:hAnsi="MingLiU" w:cs="MingLiU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TW" w:eastAsia="zh-TW" w:bidi="zh-TW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TW" w:eastAsia="zh-TW" w:bidi="zh-TW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TW" w:eastAsia="zh-TW" w:bidi="zh-TW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5">
    <w:name w:val="正文文本 (3) + Times New Roman,9 pt"/>
    <w:basedOn w:val="CharStyle4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页眉或页脚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0"/>
    </w:rPr>
  </w:style>
  <w:style w:type="character" w:customStyle="1" w:styleId="CharStyle8">
    <w:name w:val="页眉或页脚 + Times New Roman,9 pt"/>
    <w:basedOn w:val="CharStyle7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页眉或页脚"/>
    <w:basedOn w:val="CharStyle7"/>
    <w:rPr>
      <w:lang w:val="en-US" w:eastAsia="en-US" w:bidi="en-US"/>
      <w:w w:val="100"/>
      <w:color w:val="000000"/>
      <w:position w:val="0"/>
    </w:rPr>
  </w:style>
  <w:style w:type="character" w:customStyle="1" w:styleId="CharStyle11">
    <w:name w:val="正文文本 (4)_"/>
    <w:basedOn w:val="DefaultParagraphFont"/>
    <w:link w:val="Style1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">
    <w:name w:val="正文文本 (4) + MingLiU,8.5 pt"/>
    <w:basedOn w:val="CharStyle11"/>
    <w:rPr>
      <w:lang w:val="zh-TW" w:eastAsia="zh-TW" w:bidi="zh-TW"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4">
    <w:name w:val="标题 #1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34"/>
      <w:szCs w:val="34"/>
      <w:rFonts w:ascii="MingLiU" w:eastAsia="MingLiU" w:hAnsi="MingLiU" w:cs="MingLiU"/>
    </w:rPr>
  </w:style>
  <w:style w:type="character" w:customStyle="1" w:styleId="CharStyle16">
    <w:name w:val="正文文本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18">
    <w:name w:val="正文文本 (5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character" w:customStyle="1" w:styleId="CharStyle19">
    <w:name w:val="正文文本 (5) + Times New Roman,8.5 pt"/>
    <w:basedOn w:val="CharStyle18"/>
    <w:rPr>
      <w:lang w:val="en-US" w:eastAsia="en-US" w:bidi="en-US"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页眉或页脚 + 间距 1 pt"/>
    <w:basedOn w:val="CharStyle7"/>
    <w:rPr>
      <w:lang w:val="zh-TW" w:eastAsia="zh-TW" w:bidi="zh-TW"/>
      <w:w w:val="100"/>
      <w:spacing w:val="2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both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6">
    <w:name w:val="页眉或页脚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0"/>
    </w:rPr>
  </w:style>
  <w:style w:type="paragraph" w:customStyle="1" w:styleId="Style10">
    <w:name w:val="正文文本 (4)"/>
    <w:basedOn w:val="Normal"/>
    <w:link w:val="CharStyle11"/>
    <w:pPr>
      <w:widowControl w:val="0"/>
      <w:shd w:val="clear" w:color="auto" w:fill="FFFFFF"/>
      <w:jc w:val="both"/>
      <w:spacing w:after="600" w:line="259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">
    <w:name w:val="标题 #1"/>
    <w:basedOn w:val="Normal"/>
    <w:link w:val="CharStyle14"/>
    <w:pPr>
      <w:widowControl w:val="0"/>
      <w:shd w:val="clear" w:color="auto" w:fill="FFFFFF"/>
      <w:jc w:val="center"/>
      <w:outlineLvl w:val="0"/>
      <w:spacing w:before="600" w:after="48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MingLiU" w:eastAsia="MingLiU" w:hAnsi="MingLiU" w:cs="MingLiU"/>
    </w:rPr>
  </w:style>
  <w:style w:type="paragraph" w:customStyle="1" w:styleId="Style15">
    <w:name w:val="正文文本 (2)"/>
    <w:basedOn w:val="Normal"/>
    <w:link w:val="CharStyle16"/>
    <w:pPr>
      <w:widowControl w:val="0"/>
      <w:shd w:val="clear" w:color="auto" w:fill="FFFFFF"/>
      <w:jc w:val="center"/>
      <w:spacing w:before="480" w:after="120" w:line="0" w:lineRule="exact"/>
      <w:ind w:hanging="42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paragraph" w:customStyle="1" w:styleId="Style17">
    <w:name w:val="正文文本 (5)"/>
    <w:basedOn w:val="Normal"/>
    <w:link w:val="CharStyle18"/>
    <w:pPr>
      <w:widowControl w:val="0"/>
      <w:shd w:val="clear" w:color="auto" w:fill="FFFFFF"/>
      <w:jc w:val="center"/>
      <w:spacing w:before="120" w:after="120" w:line="0" w:lineRule="exact"/>
      <w:ind w:hanging="420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