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Microsoft YaHei" w:hAnsi="Microsoft YaHei" w:eastAsia="微软雅黑"/>
          <w:b/>
          <w:color w:val="0E8A7A"/>
          <w:sz w:val="68"/>
        </w:rPr>
        <w:t>惠民智导</w:t>
      </w:r>
    </w:p>
    <w:p>
      <w:pPr>
        <w:jc w:val="center"/>
      </w:pPr>
      <w:r>
        <w:rPr>
          <w:rFonts w:ascii="Microsoft YaHei" w:hAnsi="Microsoft YaHei" w:eastAsia="微软雅黑"/>
          <w:b/>
          <w:color w:val="102A43"/>
          <w:sz w:val="44"/>
        </w:rPr>
        <w:t>技术评测与工程佐证材料</w:t>
      </w:r>
    </w:p>
    <w:p>
      <w:pPr>
        <w:jc w:val="center"/>
      </w:pPr>
      <w:r>
        <w:rPr>
          <w:rFonts w:ascii="Microsoft YaHei" w:hAnsi="Microsoft YaHei" w:eastAsia="微软雅黑"/>
          <w:b w:val="0"/>
          <w:color w:val="52606D"/>
          <w:sz w:val="24"/>
        </w:rPr>
        <w:t>V0.7.0 · 2026-10-03 · AI+软件创新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972"/>
            <w:shd w:fill="FFF4D6"/>
            <w:tcMar>
              <w:top w:w="160" w:type="dxa"/>
              <w:start w:w="190" w:type="dxa"/>
              <w:bottom w:w="160" w:type="dxa"/>
              <w:end w:w="190" w:type="dxa"/>
            </w:tcMar>
          </w:tcPr>
          <w:p>
            <w:r>
              <w:rPr>
                <w:rFonts w:ascii="Microsoft YaHei" w:hAnsi="Microsoft YaHei" w:eastAsia="微软雅黑"/>
                <w:b/>
                <w:color w:val="0E8A7A"/>
                <w:sz w:val="21"/>
              </w:rPr>
              <w:t xml:space="preserve">材料边界  </w:t>
            </w:r>
            <w:r>
              <w:rPr>
                <w:rFonts w:ascii="Microsoft YaHei" w:hAnsi="Microsoft YaHei" w:eastAsia="微软雅黑"/>
                <w:b w:val="0"/>
                <w:color w:val="102A43"/>
                <w:sz w:val="20"/>
              </w:rPr>
              <w:t>本文件汇总仓库内可复现证据。项目内合成测试不等同真人试点；专家构造案例不外推真实业务；导办结果不等同行政审批。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40" w:after="100"/>
      </w:pPr>
      <w:r>
        <w:t>01 证据索引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1757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证据域</w:t>
            </w:r>
          </w:p>
        </w:tc>
        <w:tc>
          <w:tcPr>
            <w:tcW w:type="dxa" w:w="3402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核心产物</w:t>
            </w:r>
          </w:p>
        </w:tc>
        <w:tc>
          <w:tcPr>
            <w:tcW w:type="dxa" w:w="4025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结论边界</w:t>
            </w:r>
          </w:p>
        </w:tc>
      </w:tr>
      <w:tr>
        <w:tc>
          <w:tcPr>
            <w:tcW w:type="dxa" w:w="175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政策证据</w:t>
            </w:r>
          </w:p>
        </w:tc>
        <w:tc>
          <w:tcPr>
            <w:tcW w:type="dxa" w:w="340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18条逐字引文审计；14份来源溯源</w:t>
            </w:r>
          </w:p>
        </w:tc>
        <w:tc>
          <w:tcPr>
            <w:tcW w:type="dxa" w:w="402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证明引用可回到本地来源快照</w:t>
            </w:r>
          </w:p>
        </w:tc>
      </w:tr>
      <w:tr>
        <w:tc>
          <w:tcPr>
            <w:tcW w:type="dxa" w:w="175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本地AI</w:t>
            </w:r>
          </w:p>
        </w:tc>
        <w:tc>
          <w:tcPr>
            <w:tcW w:type="dxa" w:w="340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Qwen3生成/向量模型冻结评测</w:t>
            </w:r>
          </w:p>
        </w:tc>
        <w:tc>
          <w:tcPr>
            <w:tcW w:type="dxa" w:w="402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40条画像、12条检索均为内部构造</w:t>
            </w:r>
          </w:p>
        </w:tc>
      </w:tr>
      <w:tr>
        <w:tc>
          <w:tcPr>
            <w:tcW w:type="dxa" w:w="175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规则评测</w:t>
            </w:r>
          </w:p>
        </w:tc>
        <w:tc>
          <w:tcPr>
            <w:tcW w:type="dxa" w:w="340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A/B评审+C裁决；107唯一画像</w:t>
            </w:r>
          </w:p>
        </w:tc>
        <w:tc>
          <w:tcPr>
            <w:tcW w:type="dxa" w:w="402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专家构造金标准，不是真实群众样本</w:t>
            </w:r>
          </w:p>
        </w:tc>
      </w:tr>
      <w:tr>
        <w:tc>
          <w:tcPr>
            <w:tcW w:type="dxa" w:w="175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安全实验</w:t>
            </w:r>
          </w:p>
        </w:tc>
        <w:tc>
          <w:tcPr>
            <w:tcW w:type="dxa" w:w="340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八项消融；100条高风险回归</w:t>
            </w:r>
          </w:p>
        </w:tc>
        <w:tc>
          <w:tcPr>
            <w:tcW w:type="dxa" w:w="402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项目组构造安全案例，不是独立红队</w:t>
            </w:r>
          </w:p>
        </w:tc>
      </w:tr>
      <w:tr>
        <w:tc>
          <w:tcPr>
            <w:tcW w:type="dxa" w:w="175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工程质量</w:t>
            </w:r>
          </w:p>
        </w:tc>
        <w:tc>
          <w:tcPr>
            <w:tcW w:type="dxa" w:w="340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64项测试；并发；SBOM；漏洞审计</w:t>
            </w:r>
          </w:p>
        </w:tc>
        <w:tc>
          <w:tcPr>
            <w:tcW w:type="dxa" w:w="402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本机回环与扫描时点有效</w:t>
            </w:r>
          </w:p>
        </w:tc>
      </w:tr>
    </w:tbl>
    <w:p>
      <w:pPr>
        <w:spacing w:after="20"/>
      </w:pPr>
    </w:p>
    <w:p>
      <w:pPr>
        <w:pStyle w:val="Heading2"/>
        <w:spacing w:before="160" w:after="100"/>
      </w:pPr>
      <w:r>
        <w:t>1.1 可复现入口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全量测试：.\.venv\Scripts\python.exe -m pytest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项目校验：.\.venv\Scripts\python.exe scripts\check_project.py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AI评测：设置AI_MODE=hybrid后运行 scripts\evaluate_ai_pipeline.py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一键阶段复现：.\reproduce_phase12.ps1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972"/>
            <w:shd w:fill="E8F6F3"/>
            <w:tcMar>
              <w:top w:w="160" w:type="dxa"/>
              <w:start w:w="190" w:type="dxa"/>
              <w:bottom w:w="160" w:type="dxa"/>
              <w:end w:w="190" w:type="dxa"/>
            </w:tcMar>
          </w:tcPr>
          <w:p>
            <w:r>
              <w:rPr>
                <w:rFonts w:ascii="Microsoft YaHei" w:hAnsi="Microsoft YaHei" w:eastAsia="微软雅黑"/>
                <w:b/>
                <w:color w:val="0E8A7A"/>
                <w:sz w:val="21"/>
              </w:rPr>
              <w:t xml:space="preserve">当前验收  </w:t>
            </w:r>
            <w:r>
              <w:rPr>
                <w:rFonts w:ascii="Microsoft YaHei" w:hAnsi="Microsoft YaHei" w:eastAsia="微软雅黑"/>
                <w:b w:val="0"/>
                <w:color w:val="102A43"/>
                <w:sz w:val="20"/>
              </w:rPr>
              <w:t>64/64自动测试通过；项目校验通过；两套模型在RTX 4060上由ollama ps核验为100% GPU。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40" w:after="100"/>
      </w:pPr>
      <w:r>
        <w:t>02 政策来源与逐字证据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268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1984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4932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证据条数</w:t>
            </w:r>
          </w:p>
        </w:tc>
        <w:tc>
          <w:tcPr>
            <w:tcW w:type="dxa" w:w="198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18</w:t>
            </w:r>
          </w:p>
        </w:tc>
        <w:tc>
          <w:tcPr>
            <w:tcW w:type="dxa" w:w="493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每条含来源、文号/定位、有效期与复核元数据</w:t>
            </w:r>
          </w:p>
        </w:tc>
      </w:tr>
      <w:tr>
        <w:tc>
          <w:tcPr>
            <w:tcW w:type="dxa" w:w="226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逐字核验</w:t>
            </w:r>
          </w:p>
        </w:tc>
        <w:tc>
          <w:tcPr>
            <w:tcW w:type="dxa" w:w="198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18/18</w:t>
            </w:r>
          </w:p>
        </w:tc>
        <w:tc>
          <w:tcPr>
            <w:tcW w:type="dxa" w:w="493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verbatim_quote在本地快照连续存在</w:t>
            </w:r>
          </w:p>
        </w:tc>
      </w:tr>
      <w:tr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来源目录</w:t>
            </w:r>
          </w:p>
        </w:tc>
        <w:tc>
          <w:tcPr>
            <w:tcW w:type="dxa" w:w="198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14</w:t>
            </w:r>
          </w:p>
        </w:tc>
        <w:tc>
          <w:tcPr>
            <w:tcW w:type="dxa" w:w="493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P0来源指纹9/9，失配0</w:t>
            </w:r>
          </w:p>
        </w:tc>
      </w:tr>
      <w:tr>
        <w:tc>
          <w:tcPr>
            <w:tcW w:type="dxa" w:w="226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时态过滤</w:t>
            </w:r>
          </w:p>
        </w:tc>
        <w:tc>
          <w:tcPr>
            <w:tcW w:type="dxa" w:w="198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已启用</w:t>
            </w:r>
          </w:p>
        </w:tc>
        <w:tc>
          <w:tcPr>
            <w:tcW w:type="dxa" w:w="493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按地区、查询日期、effective_from/effective_to过滤</w:t>
            </w:r>
          </w:p>
        </w:tc>
      </w:tr>
    </w:tbl>
    <w:p>
      <w:pPr>
        <w:spacing w:after="20"/>
      </w:pP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证据链从导办条件回到Evidence ID，再回到政策标题、文号、条款/段落、本地文件哈希与官方URL。通俗解释与逐字原文分字段保存，避免把模型概括伪装成政策原文。</w:t>
      </w:r>
    </w:p>
    <w:p>
      <w:pPr>
        <w:pStyle w:val="Heading2"/>
        <w:spacing w:before="160" w:after="100"/>
      </w:pPr>
      <w:r>
        <w:t>2.1 审计规则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规则引用的Evidence ID必须存在且在查询日期有效。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逐字引文不允许模型改写；来源文件哈希变化会触发复核。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无达到阈值的有效证据时明确拒答，不生成虚构引用。</w:t>
      </w:r>
    </w:p>
    <w:p>
      <w:r>
        <w:br w:type="page"/>
      </w:r>
    </w:p>
    <w:p>
      <w:pPr>
        <w:pStyle w:val="Heading1"/>
        <w:spacing w:before="240" w:after="100"/>
      </w:pPr>
      <w:r>
        <w:t>03 本地模型冻结评测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187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402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冻结配置</w:t>
            </w:r>
          </w:p>
        </w:tc>
        <w:tc>
          <w:tcPr>
            <w:tcW w:type="dxa" w:w="3912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摘要</w:t>
            </w:r>
          </w:p>
        </w:tc>
      </w:tr>
      <w:tr>
        <w:tc>
          <w:tcPr>
            <w:tcW w:type="dxa" w:w="187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生成模型</w:t>
            </w:r>
          </w:p>
        </w:tc>
        <w:tc>
          <w:tcPr>
            <w:tcW w:type="dxa" w:w="340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qwen3:4b-instruct</w:t>
            </w:r>
          </w:p>
        </w:tc>
        <w:tc>
          <w:tcPr>
            <w:tcW w:type="dxa" w:w="391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4.0B · Q4_K_M · 0edcdef34593eac1…</w:t>
            </w:r>
          </w:p>
        </w:tc>
      </w:tr>
      <w:tr>
        <w:tc>
          <w:tcPr>
            <w:tcW w:type="dxa" w:w="187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向量模型</w:t>
            </w:r>
          </w:p>
        </w:tc>
        <w:tc>
          <w:tcPr>
            <w:tcW w:type="dxa" w:w="340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qwen3-embedding:0.6b</w:t>
            </w:r>
          </w:p>
        </w:tc>
        <w:tc>
          <w:tcPr>
            <w:tcW w:type="dxa" w:w="391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595.78M · Q8_0 · 本地Ollama</w:t>
            </w:r>
          </w:p>
        </w:tc>
      </w:tr>
      <w:tr>
        <w:tc>
          <w:tcPr>
            <w:tcW w:type="dxa" w:w="187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硬件</w:t>
            </w:r>
          </w:p>
        </w:tc>
        <w:tc>
          <w:tcPr>
            <w:tcW w:type="dxa" w:w="340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RTX 4060 Laptop 8GB</w:t>
            </w:r>
          </w:p>
        </w:tc>
        <w:tc>
          <w:tcPr>
            <w:tcW w:type="dxa" w:w="391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cuda_v12；两模型100% GPU</w:t>
            </w:r>
          </w:p>
        </w:tc>
      </w:tr>
      <w:tr>
        <w:tc>
          <w:tcPr>
            <w:tcW w:type="dxa" w:w="187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安全集成</w:t>
            </w:r>
          </w:p>
        </w:tc>
        <w:tc>
          <w:tcPr>
            <w:tcW w:type="dxa" w:w="340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规则优先 + Schema + 原文锚点</w:t>
            </w:r>
          </w:p>
        </w:tc>
        <w:tc>
          <w:tcPr>
            <w:tcW w:type="dxa" w:w="391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冲突保留规则；模型只补显式候选字段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72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835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3628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样本/边界</w:t>
            </w:r>
          </w:p>
        </w:tc>
      </w:tr>
      <w:tr>
        <w:tc>
          <w:tcPr>
            <w:tcW w:type="dxa" w:w="272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画像字段Precision / Recall / F1</w:t>
            </w:r>
          </w:p>
        </w:tc>
        <w:tc>
          <w:tcPr>
            <w:tcW w:type="dxa" w:w="28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1.000 / 1.000 / 1.000</w:t>
            </w:r>
          </w:p>
        </w:tc>
        <w:tc>
          <w:tcPr>
            <w:tcW w:type="dxa" w:w="362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40条项目内合成语句</w:t>
            </w:r>
          </w:p>
        </w:tc>
      </w:tr>
      <w:tr>
        <w:tc>
          <w:tcPr>
            <w:tcW w:type="dxa" w:w="272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案例严格匹配 / 幻觉案例率</w:t>
            </w:r>
          </w:p>
        </w:tc>
        <w:tc>
          <w:tcPr>
            <w:tcW w:type="dxa" w:w="283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1.000 / 0.000</w:t>
            </w:r>
          </w:p>
        </w:tc>
        <w:tc>
          <w:tcPr>
            <w:tcW w:type="dxa" w:w="362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修复PX-021后冻结复跑</w:t>
            </w:r>
          </w:p>
        </w:tc>
      </w:tr>
      <w:tr>
        <w:tc>
          <w:tcPr>
            <w:tcW w:type="dxa" w:w="272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画像延迟P50 / P95</w:t>
            </w:r>
          </w:p>
        </w:tc>
        <w:tc>
          <w:tcPr>
            <w:tcW w:type="dxa" w:w="28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1611 / 2592 ms</w:t>
            </w:r>
          </w:p>
        </w:tc>
        <w:tc>
          <w:tcPr>
            <w:tcW w:type="dxa" w:w="362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含本轮冷启动</w:t>
            </w:r>
          </w:p>
        </w:tc>
      </w:tr>
      <w:tr>
        <w:tc>
          <w:tcPr>
            <w:tcW w:type="dxa" w:w="272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混合检索Recall@1 / @3</w:t>
            </w:r>
          </w:p>
        </w:tc>
        <w:tc>
          <w:tcPr>
            <w:tcW w:type="dxa" w:w="283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0.9167 / 1.0000</w:t>
            </w:r>
          </w:p>
        </w:tc>
        <w:tc>
          <w:tcPr>
            <w:tcW w:type="dxa" w:w="362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12条项目内检索问题</w:t>
            </w:r>
          </w:p>
        </w:tc>
      </w:tr>
      <w:tr>
        <w:tc>
          <w:tcPr>
            <w:tcW w:type="dxa" w:w="272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混合检索MRR@5 / P95</w:t>
            </w:r>
          </w:p>
        </w:tc>
        <w:tc>
          <w:tcPr>
            <w:tcW w:type="dxa" w:w="28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0.9583 / 430 ms</w:t>
            </w:r>
          </w:p>
        </w:tc>
        <w:tc>
          <w:tcPr>
            <w:tcW w:type="dxa" w:w="362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12/12真实走RRF混合路由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972"/>
            <w:shd w:fill="EAF2F8"/>
            <w:tcMar>
              <w:top w:w="160" w:type="dxa"/>
              <w:start w:w="190" w:type="dxa"/>
              <w:bottom w:w="160" w:type="dxa"/>
              <w:end w:w="190" w:type="dxa"/>
            </w:tcMar>
          </w:tcPr>
          <w:p>
            <w:r>
              <w:rPr>
                <w:rFonts w:ascii="Microsoft YaHei" w:hAnsi="Microsoft YaHei" w:eastAsia="微软雅黑"/>
                <w:b/>
                <w:color w:val="0E8A7A"/>
                <w:sz w:val="21"/>
              </w:rPr>
              <w:t xml:space="preserve">失败案例闭环  </w:t>
            </w:r>
            <w:r>
              <w:rPr>
                <w:rFonts w:ascii="Microsoft YaHei" w:hAnsi="Microsoft YaHei" w:eastAsia="微软雅黑"/>
                <w:b w:val="0"/>
                <w:color w:val="102A43"/>
                <w:sz w:val="20"/>
              </w:rPr>
              <w:t>首轮GPU复跑发现PX-021无原文锚点字段；新增独立语义锚点门和自动测试后，完整冻结集复跑幻觉案例率为0。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40" w:after="100"/>
      </w:pPr>
      <w:r>
        <w:t>04 专家构造案例评测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268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55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4365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口径</w:t>
            </w:r>
          </w:p>
        </w:tc>
      </w:tr>
      <w:tr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原始/唯一案例</w:t>
            </w:r>
          </w:p>
        </w:tc>
        <w:tc>
          <w:tcPr>
            <w:tcW w:type="dxa" w:w="255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120 / 107</w:t>
            </w:r>
          </w:p>
        </w:tc>
        <w:tc>
          <w:tcPr>
            <w:tcW w:type="dxa" w:w="436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排除重复记录13条</w:t>
            </w:r>
          </w:p>
        </w:tc>
      </w:tr>
      <w:tr>
        <w:tc>
          <w:tcPr>
            <w:tcW w:type="dxa" w:w="226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事项判断</w:t>
            </w:r>
          </w:p>
        </w:tc>
        <w:tc>
          <w:tcPr>
            <w:tcW w:type="dxa" w:w="255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535</w:t>
            </w:r>
          </w:p>
        </w:tc>
        <w:tc>
          <w:tcPr>
            <w:tcW w:type="dxa" w:w="436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5类事项 × 唯一画像</w:t>
            </w:r>
          </w:p>
        </w:tc>
      </w:tr>
      <w:tr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严格一致率</w:t>
            </w:r>
          </w:p>
        </w:tc>
        <w:tc>
          <w:tcPr>
            <w:tcW w:type="dxa" w:w="255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100.00%</w:t>
            </w:r>
          </w:p>
        </w:tc>
        <w:tc>
          <w:tcPr>
            <w:tcW w:type="dxa" w:w="436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与专家构造金标准一致</w:t>
            </w:r>
          </w:p>
        </w:tc>
      </w:tr>
      <w:tr>
        <w:tc>
          <w:tcPr>
            <w:tcW w:type="dxa" w:w="226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自动覆盖率</w:t>
            </w:r>
          </w:p>
        </w:tc>
        <w:tc>
          <w:tcPr>
            <w:tcW w:type="dxa" w:w="255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81.50%</w:t>
            </w:r>
          </w:p>
        </w:tc>
        <w:tc>
          <w:tcPr>
            <w:tcW w:type="dxa" w:w="436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其余主动弃权或转人工</w:t>
            </w:r>
          </w:p>
        </w:tc>
      </w:tr>
      <w:tr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不完整/人工复核率</w:t>
            </w:r>
          </w:p>
        </w:tc>
        <w:tc>
          <w:tcPr>
            <w:tcW w:type="dxa" w:w="255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16.45% / 2.06%</w:t>
            </w:r>
          </w:p>
        </w:tc>
        <w:tc>
          <w:tcPr>
            <w:tcW w:type="dxa" w:w="436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UNKNOWN不折叠为不符合</w:t>
            </w:r>
          </w:p>
        </w:tc>
      </w:tr>
      <w:tr>
        <w:tc>
          <w:tcPr>
            <w:tcW w:type="dxa" w:w="226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高风险假阳性率</w:t>
            </w:r>
          </w:p>
        </w:tc>
        <w:tc>
          <w:tcPr>
            <w:tcW w:type="dxa" w:w="255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0.00%</w:t>
            </w:r>
          </w:p>
        </w:tc>
        <w:tc>
          <w:tcPr>
            <w:tcW w:type="dxa" w:w="436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只适用于该冻结构造集</w:t>
            </w:r>
          </w:p>
        </w:tc>
      </w:tr>
    </w:tbl>
    <w:p>
      <w:pPr>
        <w:spacing w:after="20"/>
      </w:pP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流程由专家A、专家B独立填写，专家C完成分歧裁决，随后冻结主表与哈希。报告只称“专家构造案例评测”，不称目标群众真实业务准确率。</w:t>
      </w:r>
    </w:p>
    <w:p>
      <w:r>
        <w:br w:type="page"/>
      </w:r>
    </w:p>
    <w:p>
      <w:pPr>
        <w:pStyle w:val="Heading1"/>
        <w:spacing w:before="240" w:after="100"/>
      </w:pPr>
      <w:r>
        <w:t>05 Policy2Rule与主动提问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835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Policy2Rule指标</w:t>
            </w:r>
          </w:p>
        </w:tc>
        <w:tc>
          <w:tcPr>
            <w:tcW w:type="dxa" w:w="2154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4195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8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官方条款</w:t>
            </w:r>
          </w:p>
        </w:tc>
        <w:tc>
          <w:tcPr>
            <w:tcW w:type="dxa" w:w="215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11</w:t>
            </w:r>
          </w:p>
        </w:tc>
        <w:tc>
          <w:tcPr>
            <w:tcW w:type="dxa" w:w="419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原文来自正式政策；金标准由项目组构造</w:t>
            </w:r>
          </w:p>
        </w:tc>
      </w:tr>
      <w:tr>
        <w:tc>
          <w:tcPr>
            <w:tcW w:type="dxa" w:w="283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事项/生效/失效日期准确率</w:t>
            </w:r>
          </w:p>
        </w:tc>
        <w:tc>
          <w:tcPr>
            <w:tcW w:type="dxa" w:w="215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1.000 / 1.000 / 1.000</w:t>
            </w:r>
          </w:p>
        </w:tc>
        <w:tc>
          <w:tcPr>
            <w:tcW w:type="dxa" w:w="419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严格字段匹配</w:t>
            </w:r>
          </w:p>
        </w:tc>
      </w:tr>
      <w:tr>
        <w:tc>
          <w:tcPr>
            <w:tcW w:type="dxa" w:w="28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条件字段F1</w:t>
            </w:r>
          </w:p>
        </w:tc>
        <w:tc>
          <w:tcPr>
            <w:tcW w:type="dxa" w:w="215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0.7273</w:t>
            </w:r>
          </w:p>
        </w:tc>
        <w:tc>
          <w:tcPr>
            <w:tcW w:type="dxa" w:w="419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复杂条件仍是短板</w:t>
            </w:r>
          </w:p>
        </w:tc>
      </w:tr>
      <w:tr>
        <w:tc>
          <w:tcPr>
            <w:tcW w:type="dxa" w:w="283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参数F1</w:t>
            </w:r>
          </w:p>
        </w:tc>
        <w:tc>
          <w:tcPr>
            <w:tcW w:type="dxa" w:w="215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0.5000</w:t>
            </w:r>
          </w:p>
        </w:tc>
        <w:tc>
          <w:tcPr>
            <w:tcW w:type="dxa" w:w="419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阈值、单位和例外仍需增强</w:t>
            </w:r>
          </w:p>
        </w:tc>
      </w:tr>
      <w:tr>
        <w:tc>
          <w:tcPr>
            <w:tcW w:type="dxa" w:w="28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逐字锚定率</w:t>
            </w:r>
          </w:p>
        </w:tc>
        <w:tc>
          <w:tcPr>
            <w:tcW w:type="dxa" w:w="215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1.000</w:t>
            </w:r>
          </w:p>
        </w:tc>
        <w:tc>
          <w:tcPr>
            <w:tcW w:type="dxa" w:w="419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候选引文为源文本连续子串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835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主动提问指标</w:t>
            </w:r>
          </w:p>
        </w:tc>
        <w:tc>
          <w:tcPr>
            <w:tcW w:type="dxa" w:w="2154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4195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对照/边界</w:t>
            </w:r>
          </w:p>
        </w:tc>
      </w:tr>
      <w:tr>
        <w:tc>
          <w:tcPr>
            <w:tcW w:type="dxa" w:w="28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案例数</w:t>
            </w:r>
          </w:p>
        </w:tc>
        <w:tc>
          <w:tcPr>
            <w:tcW w:type="dxa" w:w="215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240</w:t>
            </w:r>
          </w:p>
        </w:tc>
        <w:tc>
          <w:tcPr>
            <w:tcW w:type="dxa" w:w="419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项目内合成引擎一致性场景</w:t>
            </w:r>
          </w:p>
        </w:tc>
      </w:tr>
      <w:tr>
        <w:tc>
          <w:tcPr>
            <w:tcW w:type="dxa" w:w="283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平均问题数</w:t>
            </w:r>
          </w:p>
        </w:tc>
        <w:tc>
          <w:tcPr>
            <w:tcW w:type="dxa" w:w="215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8.25</w:t>
            </w:r>
          </w:p>
        </w:tc>
        <w:tc>
          <w:tcPr>
            <w:tcW w:type="dxa" w:w="419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完整表单17；固定相关字段11</w:t>
            </w:r>
          </w:p>
        </w:tc>
      </w:tr>
      <w:tr>
        <w:tc>
          <w:tcPr>
            <w:tcW w:type="dxa" w:w="28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相对完整表单减少</w:t>
            </w:r>
          </w:p>
        </w:tc>
        <w:tc>
          <w:tcPr>
            <w:tcW w:type="dxa" w:w="215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51.47%</w:t>
            </w:r>
          </w:p>
        </w:tc>
        <w:tc>
          <w:tcPr>
            <w:tcW w:type="dxa" w:w="419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不代表真人填写时间</w:t>
            </w:r>
          </w:p>
        </w:tc>
      </w:tr>
      <w:tr>
        <w:tc>
          <w:tcPr>
            <w:tcW w:type="dxa" w:w="283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最终状态一致性</w:t>
            </w:r>
          </w:p>
        </w:tc>
        <w:tc>
          <w:tcPr>
            <w:tcW w:type="dxa" w:w="215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100.00%</w:t>
            </w:r>
          </w:p>
        </w:tc>
        <w:tc>
          <w:tcPr>
            <w:tcW w:type="dxa" w:w="419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与完整事实推理比较</w:t>
            </w:r>
          </w:p>
        </w:tc>
      </w:tr>
      <w:tr>
        <w:tc>
          <w:tcPr>
            <w:tcW w:type="dxa" w:w="28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急难问题漏问率</w:t>
            </w:r>
          </w:p>
        </w:tc>
        <w:tc>
          <w:tcPr>
            <w:tcW w:type="dxa" w:w="215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0.00%</w:t>
            </w:r>
          </w:p>
        </w:tc>
        <w:tc>
          <w:tcPr>
            <w:tcW w:type="dxa" w:w="419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项目内合成场景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40" w:after="100"/>
      </w:pPr>
      <w:r>
        <w:t>06 安全消融与高风险回归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268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移除/攻击面</w:t>
            </w:r>
          </w:p>
        </w:tc>
        <w:tc>
          <w:tcPr>
            <w:tcW w:type="dxa" w:w="238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观测结果</w:t>
            </w:r>
          </w:p>
        </w:tc>
        <w:tc>
          <w:tcPr>
            <w:tcW w:type="dxa" w:w="4535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安全含义</w:t>
            </w:r>
          </w:p>
        </w:tc>
      </w:tr>
      <w:tr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三值逻辑</w:t>
            </w:r>
          </w:p>
        </w:tc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204 / 240</w:t>
            </w:r>
          </w:p>
        </w:tc>
        <w:tc>
          <w:tcPr>
            <w:tcW w:type="dxa" w:w="45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信息不足被强制判为否定</w:t>
            </w:r>
          </w:p>
        </w:tc>
      </w:tr>
      <w:tr>
        <w:tc>
          <w:tcPr>
            <w:tcW w:type="dxa" w:w="226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时态选择</w:t>
            </w:r>
          </w:p>
        </w:tc>
        <w:tc>
          <w:tcPr>
            <w:tcW w:type="dxa" w:w="238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30</w:t>
            </w:r>
          </w:p>
        </w:tc>
        <w:tc>
          <w:tcPr>
            <w:tcW w:type="dxa" w:w="453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案例会使用不同规则版本</w:t>
            </w:r>
          </w:p>
        </w:tc>
      </w:tr>
      <w:tr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证据链接</w:t>
            </w:r>
          </w:p>
        </w:tc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4320</w:t>
            </w:r>
          </w:p>
        </w:tc>
        <w:tc>
          <w:tcPr>
            <w:tcW w:type="dxa" w:w="45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条件失去可追溯证据</w:t>
            </w:r>
          </w:p>
        </w:tc>
      </w:tr>
      <w:tr>
        <w:tc>
          <w:tcPr>
            <w:tcW w:type="dxa" w:w="226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高风险回归</w:t>
            </w:r>
          </w:p>
        </w:tc>
        <w:tc>
          <w:tcPr>
            <w:tcW w:type="dxa" w:w="238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100 / 100</w:t>
            </w:r>
          </w:p>
        </w:tc>
        <w:tc>
          <w:tcPr>
            <w:tcW w:type="dxa" w:w="453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项目组构造，不称独立红队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4535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高风险类别</w:t>
            </w:r>
          </w:p>
        </w:tc>
        <w:tc>
          <w:tcPr>
            <w:tcW w:type="dxa" w:w="2268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案例</w:t>
            </w:r>
          </w:p>
        </w:tc>
        <w:tc>
          <w:tcPr>
            <w:tcW w:type="dxa" w:w="238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通过</w:t>
            </w:r>
          </w:p>
        </w:tc>
      </w:tr>
      <w:tr>
        <w:tc>
          <w:tcPr>
            <w:tcW w:type="dxa" w:w="45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out_of_scope_no_answer</w:t>
            </w:r>
          </w:p>
        </w:tc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20</w:t>
            </w:r>
          </w:p>
        </w:tc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20</w:t>
            </w:r>
          </w:p>
        </w:tc>
      </w:tr>
      <w:tr>
        <w:tc>
          <w:tcPr>
            <w:tcW w:type="dxa" w:w="453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prompt_injection</w:t>
            </w:r>
          </w:p>
        </w:tc>
        <w:tc>
          <w:tcPr>
            <w:tcW w:type="dxa" w:w="226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20</w:t>
            </w:r>
          </w:p>
        </w:tc>
        <w:tc>
          <w:tcPr>
            <w:tcW w:type="dxa" w:w="238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20</w:t>
            </w:r>
          </w:p>
        </w:tc>
      </w:tr>
      <w:tr>
        <w:tc>
          <w:tcPr>
            <w:tcW w:type="dxa" w:w="45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publish_gate</w:t>
            </w:r>
          </w:p>
        </w:tc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15</w:t>
            </w:r>
          </w:p>
        </w:tc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15</w:t>
            </w:r>
          </w:p>
        </w:tc>
      </w:tr>
      <w:tr>
        <w:tc>
          <w:tcPr>
            <w:tcW w:type="dxa" w:w="453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temporal_boundary</w:t>
            </w:r>
          </w:p>
        </w:tc>
        <w:tc>
          <w:tcPr>
            <w:tcW w:type="dxa" w:w="226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20</w:t>
            </w:r>
          </w:p>
        </w:tc>
        <w:tc>
          <w:tcPr>
            <w:tcW w:type="dxa" w:w="238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20</w:t>
            </w:r>
          </w:p>
        </w:tc>
      </w:tr>
      <w:tr>
        <w:tc>
          <w:tcPr>
            <w:tcW w:type="dxa" w:w="453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unknown_preservation</w:t>
            </w:r>
          </w:p>
        </w:tc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25</w:t>
            </w:r>
          </w:p>
        </w:tc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25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972"/>
            <w:shd w:fill="E8F6F3"/>
            <w:tcMar>
              <w:top w:w="160" w:type="dxa"/>
              <w:start w:w="190" w:type="dxa"/>
              <w:bottom w:w="160" w:type="dxa"/>
              <w:end w:w="190" w:type="dxa"/>
            </w:tcMar>
          </w:tcPr>
          <w:p>
            <w:r>
              <w:rPr>
                <w:rFonts w:ascii="Microsoft YaHei" w:hAnsi="Microsoft YaHei" w:eastAsia="微软雅黑"/>
                <w:b/>
                <w:color w:val="0E8A7A"/>
                <w:sz w:val="21"/>
              </w:rPr>
              <w:t xml:space="preserve">结论  </w:t>
            </w:r>
            <w:r>
              <w:rPr>
                <w:rFonts w:ascii="Microsoft YaHei" w:hAnsi="Microsoft YaHei" w:eastAsia="微软雅黑"/>
                <w:b w:val="0"/>
                <w:color w:val="102A43"/>
                <w:sz w:val="20"/>
              </w:rPr>
              <w:t>安全不是页面文案：UNKNOWN保留、有效期、证据门、Schema、规则冲突保护、人工发布门和无答案拒答均进入自动化回归。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40" w:after="100"/>
      </w:pPr>
      <w:r>
        <w:t>07 性能、供应链与数据治理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</w:trPr>
        <w:tc>
          <w:tcPr>
            <w:tcW w:type="dxa" w:w="1247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并发</w:t>
            </w:r>
          </w:p>
        </w:tc>
        <w:tc>
          <w:tcPr>
            <w:tcW w:type="dxa" w:w="1417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请求</w:t>
            </w:r>
          </w:p>
        </w:tc>
        <w:tc>
          <w:tcPr>
            <w:tcW w:type="dxa" w:w="1587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P50</w:t>
            </w:r>
          </w:p>
        </w:tc>
        <w:tc>
          <w:tcPr>
            <w:tcW w:type="dxa" w:w="1587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P95</w:t>
            </w:r>
          </w:p>
        </w:tc>
        <w:tc>
          <w:tcPr>
            <w:tcW w:type="dxa" w:w="1814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吞吐</w:t>
            </w:r>
          </w:p>
        </w:tc>
        <w:tc>
          <w:tcPr>
            <w:tcW w:type="dxa" w:w="1134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错误</w:t>
            </w:r>
          </w:p>
        </w:tc>
      </w:tr>
      <w:tr>
        <w:tc>
          <w:tcPr>
            <w:tcW w:type="dxa" w:w="124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</w:t>
            </w:r>
          </w:p>
        </w:tc>
        <w:tc>
          <w:tcPr>
            <w:tcW w:type="dxa" w:w="141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60</w:t>
            </w:r>
          </w:p>
        </w:tc>
        <w:tc>
          <w:tcPr>
            <w:tcW w:type="dxa" w:w="158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6.5ms</w:t>
            </w:r>
          </w:p>
        </w:tc>
        <w:tc>
          <w:tcPr>
            <w:tcW w:type="dxa" w:w="158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25.6ms</w:t>
            </w:r>
          </w:p>
        </w:tc>
        <w:tc>
          <w:tcPr>
            <w:tcW w:type="dxa" w:w="181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83.0/s</w:t>
            </w:r>
          </w:p>
        </w:tc>
        <w:tc>
          <w:tcPr>
            <w:tcW w:type="dxa" w:w="113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</w:t>
            </w:r>
          </w:p>
        </w:tc>
      </w:tr>
      <w:tr>
        <w:tc>
          <w:tcPr>
            <w:tcW w:type="dxa" w:w="124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5</w:t>
            </w:r>
          </w:p>
        </w:tc>
        <w:tc>
          <w:tcPr>
            <w:tcW w:type="dxa" w:w="141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60</w:t>
            </w:r>
          </w:p>
        </w:tc>
        <w:tc>
          <w:tcPr>
            <w:tcW w:type="dxa" w:w="158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45.4ms</w:t>
            </w:r>
          </w:p>
        </w:tc>
        <w:tc>
          <w:tcPr>
            <w:tcW w:type="dxa" w:w="158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58.8ms</w:t>
            </w:r>
          </w:p>
        </w:tc>
        <w:tc>
          <w:tcPr>
            <w:tcW w:type="dxa" w:w="181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102.5/s</w:t>
            </w:r>
          </w:p>
        </w:tc>
        <w:tc>
          <w:tcPr>
            <w:tcW w:type="dxa" w:w="113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</w:t>
            </w:r>
          </w:p>
        </w:tc>
      </w:tr>
      <w:tr>
        <w:tc>
          <w:tcPr>
            <w:tcW w:type="dxa" w:w="124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10</w:t>
            </w:r>
          </w:p>
        </w:tc>
        <w:tc>
          <w:tcPr>
            <w:tcW w:type="dxa" w:w="141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60</w:t>
            </w:r>
          </w:p>
        </w:tc>
        <w:tc>
          <w:tcPr>
            <w:tcW w:type="dxa" w:w="158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119.3ms</w:t>
            </w:r>
          </w:p>
        </w:tc>
        <w:tc>
          <w:tcPr>
            <w:tcW w:type="dxa" w:w="158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201.2ms</w:t>
            </w:r>
          </w:p>
        </w:tc>
        <w:tc>
          <w:tcPr>
            <w:tcW w:type="dxa" w:w="181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77.7/s</w:t>
            </w:r>
          </w:p>
        </w:tc>
        <w:tc>
          <w:tcPr>
            <w:tcW w:type="dxa" w:w="113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</w:t>
            </w:r>
          </w:p>
        </w:tc>
      </w:tr>
      <w:tr>
        <w:tc>
          <w:tcPr>
            <w:tcW w:type="dxa" w:w="124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20</w:t>
            </w:r>
          </w:p>
        </w:tc>
        <w:tc>
          <w:tcPr>
            <w:tcW w:type="dxa" w:w="141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60</w:t>
            </w:r>
          </w:p>
        </w:tc>
        <w:tc>
          <w:tcPr>
            <w:tcW w:type="dxa" w:w="158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281.6ms</w:t>
            </w:r>
          </w:p>
        </w:tc>
        <w:tc>
          <w:tcPr>
            <w:tcW w:type="dxa" w:w="158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369.0ms</w:t>
            </w:r>
          </w:p>
        </w:tc>
        <w:tc>
          <w:tcPr>
            <w:tcW w:type="dxa" w:w="181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67.7/s</w:t>
            </w:r>
          </w:p>
        </w:tc>
        <w:tc>
          <w:tcPr>
            <w:tcW w:type="dxa" w:w="113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</w:t>
            </w:r>
          </w:p>
        </w:tc>
      </w:tr>
      <w:tr>
        <w:tc>
          <w:tcPr>
            <w:tcW w:type="dxa" w:w="124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30</w:t>
            </w:r>
          </w:p>
        </w:tc>
        <w:tc>
          <w:tcPr>
            <w:tcW w:type="dxa" w:w="141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60</w:t>
            </w:r>
          </w:p>
        </w:tc>
        <w:tc>
          <w:tcPr>
            <w:tcW w:type="dxa" w:w="158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381.1ms</w:t>
            </w:r>
          </w:p>
        </w:tc>
        <w:tc>
          <w:tcPr>
            <w:tcW w:type="dxa" w:w="158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439.8ms</w:t>
            </w:r>
          </w:p>
        </w:tc>
        <w:tc>
          <w:tcPr>
            <w:tcW w:type="dxa" w:w="181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68.3/s</w:t>
            </w:r>
          </w:p>
        </w:tc>
        <w:tc>
          <w:tcPr>
            <w:tcW w:type="dxa" w:w="113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</w:t>
            </w:r>
          </w:p>
        </w:tc>
      </w:tr>
    </w:tbl>
    <w:p>
      <w:pPr>
        <w:spacing w:after="20"/>
      </w:pP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并发数据来自单进程Uvicorn、本机回环网络、确定性只读接口；不是生产压测，也不代表大模型端点吞吐。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238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治理项</w:t>
            </w:r>
          </w:p>
        </w:tc>
        <w:tc>
          <w:tcPr>
            <w:tcW w:type="dxa" w:w="238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4422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边界</w:t>
            </w:r>
          </w:p>
        </w:tc>
      </w:tr>
      <w:tr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锁定依赖</w:t>
            </w:r>
          </w:p>
        </w:tc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46</w:t>
            </w:r>
          </w:p>
        </w:tc>
        <w:tc>
          <w:tcPr>
            <w:tcW w:type="dxa" w:w="442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安装齐全：True；版本一致：True</w:t>
            </w:r>
          </w:p>
        </w:tc>
      </w:tr>
      <w:tr>
        <w:tc>
          <w:tcPr>
            <w:tcW w:type="dxa" w:w="238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已知漏洞</w:t>
            </w:r>
          </w:p>
        </w:tc>
        <w:tc>
          <w:tcPr>
            <w:tcW w:type="dxa" w:w="238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</w:t>
            </w:r>
          </w:p>
        </w:tc>
        <w:tc>
          <w:tcPr>
            <w:tcW w:type="dxa" w:w="442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pip-audit覆盖46条；仅对扫描时点有效</w:t>
            </w:r>
          </w:p>
        </w:tc>
      </w:tr>
      <w:tr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数据资产</w:t>
            </w:r>
          </w:p>
        </w:tc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7</w:t>
            </w:r>
          </w:p>
        </w:tc>
        <w:tc>
          <w:tcPr>
            <w:tcW w:type="dxa" w:w="442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逐项记录来源、合成/独立性、隐私和SHA-256</w:t>
            </w:r>
          </w:p>
        </w:tc>
      </w:tr>
      <w:tr>
        <w:tc>
          <w:tcPr>
            <w:tcW w:type="dxa" w:w="238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模型权重</w:t>
            </w:r>
          </w:p>
        </w:tc>
        <w:tc>
          <w:tcPr>
            <w:tcW w:type="dxa" w:w="238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不进入源码包</w:t>
            </w:r>
          </w:p>
        </w:tc>
        <w:tc>
          <w:tcPr>
            <w:tcW w:type="dxa" w:w="442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记录标签、许可证、摘要与官方下载方式</w:t>
            </w:r>
          </w:p>
        </w:tc>
      </w:tr>
      <w:tr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原始真人/专家表</w:t>
            </w:r>
          </w:p>
        </w:tc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不进入公开包</w:t>
            </w:r>
          </w:p>
        </w:tc>
        <w:tc>
          <w:tcPr>
            <w:tcW w:type="dxa" w:w="442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只发布聚合报告；保留本地授权边界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40" w:after="100"/>
      </w:pPr>
      <w:r>
        <w:t>08 真实性声明与最终人工事项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972"/>
            <w:shd w:fill="E8F6F3"/>
            <w:tcMar>
              <w:top w:w="160" w:type="dxa"/>
              <w:start w:w="190" w:type="dxa"/>
              <w:bottom w:w="160" w:type="dxa"/>
              <w:end w:w="190" w:type="dxa"/>
            </w:tcMar>
          </w:tcPr>
          <w:p>
            <w:r>
              <w:rPr>
                <w:rFonts w:ascii="Microsoft YaHei" w:hAnsi="Microsoft YaHei" w:eastAsia="微软雅黑"/>
                <w:b/>
                <w:color w:val="0E8A7A"/>
                <w:sz w:val="21"/>
              </w:rPr>
              <w:t xml:space="preserve">已经证明  </w:t>
            </w:r>
            <w:r>
              <w:rPr>
                <w:rFonts w:ascii="Microsoft YaHei" w:hAnsi="Microsoft YaHei" w:eastAsia="微软雅黑"/>
                <w:b w:val="0"/>
                <w:color w:val="102A43"/>
                <w:sz w:val="20"/>
              </w:rPr>
              <w:t>软件闭环可运行；模型真实运行；证据逐字可追溯；内部基准、消融和工程测试可复现。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972"/>
            <w:shd w:fill="FFF4D6"/>
            <w:tcMar>
              <w:top w:w="160" w:type="dxa"/>
              <w:start w:w="190" w:type="dxa"/>
              <w:bottom w:w="160" w:type="dxa"/>
              <w:end w:w="190" w:type="dxa"/>
            </w:tcMar>
          </w:tcPr>
          <w:p>
            <w:r>
              <w:rPr>
                <w:rFonts w:ascii="Microsoft YaHei" w:hAnsi="Microsoft YaHei" w:eastAsia="微软雅黑"/>
                <w:b/>
                <w:color w:val="0E8A7A"/>
                <w:sz w:val="21"/>
              </w:rPr>
              <w:t xml:space="preserve">尚未证明  </w:t>
            </w:r>
            <w:r>
              <w:rPr>
                <w:rFonts w:ascii="Microsoft YaHei" w:hAnsi="Microsoft YaHei" w:eastAsia="微软雅黑"/>
                <w:b w:val="0"/>
                <w:color w:val="102A43"/>
                <w:sz w:val="20"/>
              </w:rPr>
              <w:t>真实群众满意度、真实办事成功率、真实跑腿减少比例、基层实际使用规模和第三方认证。</w:t>
            </w:r>
          </w:p>
        </w:tc>
      </w:tr>
    </w:tbl>
    <w:p>
      <w:pPr>
        <w:spacing w:after="20"/>
      </w:pPr>
    </w:p>
    <w:p>
      <w:pPr>
        <w:pStyle w:val="Heading2"/>
        <w:spacing w:before="160" w:after="100"/>
      </w:pPr>
      <w:r>
        <w:t>8.1 必须由真人完成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真实参与者可用性试点或诚实标注为未完成；不得使用AI生成记录替代。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在另一台干净Windows电脑完成第三方安装与复现实验验收并签字。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团队真人录制3—5分钟演示视频，检查声音、字幕和隐私遮挡。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填写最终团队编号、赛题名称、队员/学校信息，完成签字盖章和平台上传。</w:t>
      </w:r>
    </w:p>
    <w:p>
      <w:pPr>
        <w:pStyle w:val="Heading2"/>
        <w:spacing w:before="160" w:after="100"/>
      </w:pPr>
      <w:r>
        <w:t>8.2 文件级复核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所有正式数字可回链 data/evaluation 下的JSON/CSV和对应脚本。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作品书、答辩PPT和本佐证材料均明确数据性质与剩余边界。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发布ZIP排除数据库、日志、模型权重、专家原表、试点原表和QA中间文件。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微软雅黑"/>
        <w:b w:val="0"/>
        <w:color w:val="0E8A7A"/>
        <w:sz w:val="17"/>
      </w:rPr>
      <w:t>惠民智导 · 国赛佐证材料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color w:val="52606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02A4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E8A7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102A43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惠民智导——技术评测与工程佐证材料</dc:title>
  <dc:subject>AI+软件创新赛道佐证材料</dc:subject>
  <dc:creator>策马奔腾队</dc:creator>
  <cp:keywords>评测,证据链,可信AI,可复现,供应链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