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微软雅黑"/>
          <w:b/>
          <w:color w:val="0E8A7A"/>
          <w:sz w:val="68"/>
        </w:rPr>
        <w:t>惠民智导</w:t>
      </w:r>
    </w:p>
    <w:p>
      <w:pPr>
        <w:jc w:val="center"/>
      </w:pPr>
      <w:r>
        <w:rPr>
          <w:rFonts w:ascii="Microsoft YaHei" w:hAnsi="Microsoft YaHei" w:eastAsia="微软雅黑"/>
          <w:b/>
          <w:color w:val="102A43"/>
          <w:sz w:val="44"/>
        </w:rPr>
        <w:t>技术评测与工程佐证材料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2606D"/>
          <w:sz w:val="24"/>
        </w:rPr>
        <w:t>V1.0.0 · 2026-10-06 · AI+软件创新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材料边界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本文件汇总仓库内可复现证据。项目内合成测试不等同真人试点；专家构造案例不外推真实业务；导办结果不等同行政审批。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01 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证据域</w:t>
            </w:r>
          </w:p>
        </w:tc>
        <w:tc>
          <w:tcPr>
            <w:tcW w:type="dxa" w:w="340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核心产物</w:t>
            </w:r>
          </w:p>
        </w:tc>
        <w:tc>
          <w:tcPr>
            <w:tcW w:type="dxa" w:w="402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结论边界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政策证据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18条逐字引文审计；14份来源溯源</w:t>
            </w:r>
          </w:p>
        </w:tc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证明引用可回到本地来源快照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本地AI</w:t>
            </w:r>
          </w:p>
        </w:tc>
        <w:tc>
          <w:tcPr>
            <w:tcW w:type="dxa" w:w="340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Qwen3生成/向量模型冻结评测</w:t>
            </w:r>
          </w:p>
        </w:tc>
        <w:tc>
          <w:tcPr>
            <w:tcW w:type="dxa" w:w="402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40条画像、12条检索均为内部构造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规则评测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A/B评审+C裁决；107唯一画像</w:t>
            </w:r>
          </w:p>
        </w:tc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专家构造金标准，不是真实群众样本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安全实验</w:t>
            </w:r>
          </w:p>
        </w:tc>
        <w:tc>
          <w:tcPr>
            <w:tcW w:type="dxa" w:w="340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八项消融；100条高风险回归</w:t>
            </w:r>
          </w:p>
        </w:tc>
        <w:tc>
          <w:tcPr>
            <w:tcW w:type="dxa" w:w="402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项目组构造安全案例，不是独立红队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工程质量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66项测试；并发；SBOM；漏洞审计</w:t>
            </w:r>
          </w:p>
        </w:tc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本机回环与扫描时点有效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1.1 可复现入口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全量测试：.\.venv\Scripts\python.exe -m pytest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项目校验：.\.venv\Scripts\python.exe scripts\check_project.py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AI评测：设置AI_MODE=hybrid后运行 scripts\evaluate_ai_pipeline.py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一键阶段复现：.\reproduce_phase12.ps1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8F6F3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当前验收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66/66自动测试通过；项目校验通过；两套模型在RTX 4060上由ollama ps核验为100% GPU。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02 政策来源与逐字证据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93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证据条数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18</w:t>
            </w:r>
          </w:p>
        </w:tc>
        <w:tc>
          <w:tcPr>
            <w:tcW w:type="dxa" w:w="493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每条含来源、文号/定位、有效期与复核元数据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逐字核验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18/18</w:t>
            </w:r>
          </w:p>
        </w:tc>
        <w:tc>
          <w:tcPr>
            <w:tcW w:type="dxa" w:w="493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verbatim_quote在本地快照连续存在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来源目录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14</w:t>
            </w:r>
          </w:p>
        </w:tc>
        <w:tc>
          <w:tcPr>
            <w:tcW w:type="dxa" w:w="493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P0来源指纹9/9，失配0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时态过滤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已启用</w:t>
            </w:r>
          </w:p>
        </w:tc>
        <w:tc>
          <w:tcPr>
            <w:tcW w:type="dxa" w:w="493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按地区、查询日期、effective_from/effective_to过滤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证据链从导办条件回到Evidence ID，再回到政策标题、文号、条款/段落、本地文件哈希与官方URL。通俗解释与逐字原文分字段保存，避免把模型概括伪装成政策原文。</w:t>
      </w:r>
    </w:p>
    <w:p>
      <w:pPr>
        <w:pStyle w:val="Heading2"/>
        <w:spacing w:before="160" w:after="100"/>
      </w:pPr>
      <w:r>
        <w:t>2.1 审计规则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规则引用的Evidence ID必须存在且在查询日期有效。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逐字引文不允许模型改写；来源文件哈希变化会触发复核。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无达到阈值的有效证据时明确拒答，不生成虚构引用。</w:t>
      </w:r>
    </w:p>
    <w:p>
      <w:r>
        <w:br w:type="page"/>
      </w:r>
    </w:p>
    <w:p>
      <w:pPr>
        <w:pStyle w:val="Heading1"/>
        <w:spacing w:before="240" w:after="100"/>
      </w:pPr>
      <w:r>
        <w:t>03 本地模型冻结评测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40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冻结配置</w:t>
            </w:r>
          </w:p>
        </w:tc>
        <w:tc>
          <w:tcPr>
            <w:tcW w:type="dxa" w:w="391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生成模型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qwen3:4b-instruct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4.0B · Q4_K_M · 0edcdef34593eac1…</w:t>
            </w:r>
          </w:p>
        </w:tc>
      </w:tr>
      <w:tr>
        <w:tc>
          <w:tcPr>
            <w:tcW w:type="dxa" w:w="187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向量模型</w:t>
            </w:r>
          </w:p>
        </w:tc>
        <w:tc>
          <w:tcPr>
            <w:tcW w:type="dxa" w:w="340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qwen3-embedding:0.6b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595.78M · Q8_0 · 本地Ollama</w:t>
            </w:r>
          </w:p>
        </w:tc>
      </w:tr>
      <w:tr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硬件</w:t>
            </w:r>
          </w:p>
        </w:tc>
        <w:tc>
          <w:tcPr>
            <w:tcW w:type="dxa" w:w="340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RTX 4060 Laptop 8GB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cuda_v12；两模型100% GPU</w:t>
            </w:r>
          </w:p>
        </w:tc>
      </w:tr>
      <w:tr>
        <w:tc>
          <w:tcPr>
            <w:tcW w:type="dxa" w:w="187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安全集成</w:t>
            </w:r>
          </w:p>
        </w:tc>
        <w:tc>
          <w:tcPr>
            <w:tcW w:type="dxa" w:w="340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规则优先 + Schema + 原文锚点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冲突保留规则；模型只补显式候选字段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72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62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样本/边界</w:t>
            </w:r>
          </w:p>
        </w:tc>
      </w:tr>
      <w:tr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画像字段Precision / Recall / F1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 / 1.000 / 1.000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40条项目内合成语句</w:t>
            </w:r>
          </w:p>
        </w:tc>
      </w:tr>
      <w:tr>
        <w:tc>
          <w:tcPr>
            <w:tcW w:type="dxa" w:w="272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案例严格匹配 / 幻觉案例率</w:t>
            </w:r>
          </w:p>
        </w:tc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 / 0.000</w:t>
            </w:r>
          </w:p>
        </w:tc>
        <w:tc>
          <w:tcPr>
            <w:tcW w:type="dxa" w:w="362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修复PX-021后冻结复跑</w:t>
            </w:r>
          </w:p>
        </w:tc>
      </w:tr>
      <w:tr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画像延迟P50 / P95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2715 / 4850 ms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含本轮冷启动</w:t>
            </w:r>
          </w:p>
        </w:tc>
      </w:tr>
      <w:tr>
        <w:tc>
          <w:tcPr>
            <w:tcW w:type="dxa" w:w="272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混合检索Recall@1 / @3</w:t>
            </w:r>
          </w:p>
        </w:tc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0.9167 / 1.0000</w:t>
            </w:r>
          </w:p>
        </w:tc>
        <w:tc>
          <w:tcPr>
            <w:tcW w:type="dxa" w:w="362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12条项目内检索问题</w:t>
            </w:r>
          </w:p>
        </w:tc>
      </w:tr>
      <w:tr>
        <w:tc>
          <w:tcPr>
            <w:tcW w:type="dxa" w:w="272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混合检索MRR@5 / P95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0.9583 / 898 ms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12/12真实走RRF混合路由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失败案例闭环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首轮GPU复跑发现PX-021无原文锚点字段；新增独立语义锚点门和自动测试后，完整冻结集复跑幻觉案例率为0。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04 专家构造案例评测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5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36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口径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原始/唯一案例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120 / 107</w:t>
            </w:r>
          </w:p>
        </w:tc>
        <w:tc>
          <w:tcPr>
            <w:tcW w:type="dxa" w:w="43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排除重复记录13条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事项判断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535</w:t>
            </w:r>
          </w:p>
        </w:tc>
        <w:tc>
          <w:tcPr>
            <w:tcW w:type="dxa" w:w="43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5类事项 × 唯一画像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严格一致率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100.00%</w:t>
            </w:r>
          </w:p>
        </w:tc>
        <w:tc>
          <w:tcPr>
            <w:tcW w:type="dxa" w:w="43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与专家构造金标准一致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自动覆盖率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81.50%</w:t>
            </w:r>
          </w:p>
        </w:tc>
        <w:tc>
          <w:tcPr>
            <w:tcW w:type="dxa" w:w="43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其余主动弃权或转人工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不完整/人工复核率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16.45% / 2.06%</w:t>
            </w:r>
          </w:p>
        </w:tc>
        <w:tc>
          <w:tcPr>
            <w:tcW w:type="dxa" w:w="43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UNKNOWN不折叠为不符合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高风险假阳性率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0.00%</w:t>
            </w:r>
          </w:p>
        </w:tc>
        <w:tc>
          <w:tcPr>
            <w:tcW w:type="dxa" w:w="43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只适用于该冻结构造集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流程由专家A、专家B独立填写，专家C完成分歧裁决，随后冻结主表与哈希。报告只称“专家构造案例评测”，不称目标群众真实业务准确率。</w:t>
      </w:r>
    </w:p>
    <w:p>
      <w:r>
        <w:br w:type="page"/>
      </w:r>
    </w:p>
    <w:p>
      <w:pPr>
        <w:pStyle w:val="Heading1"/>
        <w:spacing w:before="240" w:after="100"/>
      </w:pPr>
      <w:r>
        <w:t>05 Policy2Rule与主动提问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Policy2Rule指标</w:t>
            </w:r>
          </w:p>
        </w:tc>
        <w:tc>
          <w:tcPr>
            <w:tcW w:type="dxa" w:w="215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19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官方条款</w:t>
            </w:r>
          </w:p>
        </w:tc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原文来自正式政策；金标准由项目组构造</w:t>
            </w:r>
          </w:p>
        </w:tc>
      </w:tr>
      <w:tr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事项/生效/失效日期准确率</w:t>
            </w:r>
          </w:p>
        </w:tc>
        <w:tc>
          <w:tcPr>
            <w:tcW w:type="dxa" w:w="215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 / 1.000 / 1.000</w:t>
            </w:r>
          </w:p>
        </w:tc>
        <w:tc>
          <w:tcPr>
            <w:tcW w:type="dxa" w:w="419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严格字段匹配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条件字段F1</w:t>
            </w:r>
          </w:p>
        </w:tc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0.7273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复杂条件仍是短板</w:t>
            </w:r>
          </w:p>
        </w:tc>
      </w:tr>
      <w:tr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参数F1</w:t>
            </w:r>
          </w:p>
        </w:tc>
        <w:tc>
          <w:tcPr>
            <w:tcW w:type="dxa" w:w="215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0.5000</w:t>
            </w:r>
          </w:p>
        </w:tc>
        <w:tc>
          <w:tcPr>
            <w:tcW w:type="dxa" w:w="419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阈值、单位和例外仍需增强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逐字锚定率</w:t>
            </w:r>
          </w:p>
        </w:tc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候选引文为源文本连续子串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主动提问指标</w:t>
            </w:r>
          </w:p>
        </w:tc>
        <w:tc>
          <w:tcPr>
            <w:tcW w:type="dxa" w:w="215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19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对照/边界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案例数</w:t>
            </w:r>
          </w:p>
        </w:tc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240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项目内合成引擎一致性场景</w:t>
            </w:r>
          </w:p>
        </w:tc>
      </w:tr>
      <w:tr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平均问题数</w:t>
            </w:r>
          </w:p>
        </w:tc>
        <w:tc>
          <w:tcPr>
            <w:tcW w:type="dxa" w:w="215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8.25</w:t>
            </w:r>
          </w:p>
        </w:tc>
        <w:tc>
          <w:tcPr>
            <w:tcW w:type="dxa" w:w="419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完整表单17；固定相关字段11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相对完整表单减少</w:t>
            </w:r>
          </w:p>
        </w:tc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51.47%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不代表真人填写时间</w:t>
            </w:r>
          </w:p>
        </w:tc>
      </w:tr>
      <w:tr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最终状态一致性</w:t>
            </w:r>
          </w:p>
        </w:tc>
        <w:tc>
          <w:tcPr>
            <w:tcW w:type="dxa" w:w="215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100.00%</w:t>
            </w:r>
          </w:p>
        </w:tc>
        <w:tc>
          <w:tcPr>
            <w:tcW w:type="dxa" w:w="419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与完整事实推理比较</w:t>
            </w:r>
          </w:p>
        </w:tc>
      </w:tr>
      <w:tr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急难问题漏问率</w:t>
            </w:r>
          </w:p>
        </w:tc>
        <w:tc>
          <w:tcPr>
            <w:tcW w:type="dxa" w:w="215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0.00%</w:t>
            </w:r>
          </w:p>
        </w:tc>
        <w:tc>
          <w:tcPr>
            <w:tcW w:type="dxa" w:w="419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项目内合成场景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06 安全消融与高风险回归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移除/攻击面</w:t>
            </w:r>
          </w:p>
        </w:tc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观测结果</w:t>
            </w:r>
          </w:p>
        </w:tc>
        <w:tc>
          <w:tcPr>
            <w:tcW w:type="dxa" w:w="453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安全含义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三值逻辑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204 / 240</w:t>
            </w:r>
          </w:p>
        </w:tc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信息不足被强制判为否定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时态选择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30</w:t>
            </w:r>
          </w:p>
        </w:tc>
        <w:tc>
          <w:tcPr>
            <w:tcW w:type="dxa" w:w="45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案例会使用不同规则版本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证据链接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4320</w:t>
            </w:r>
          </w:p>
        </w:tc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条件失去可追溯证据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高风险回归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100 / 100</w:t>
            </w:r>
          </w:p>
        </w:tc>
        <w:tc>
          <w:tcPr>
            <w:tcW w:type="dxa" w:w="45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项目组构造，不称独立红队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453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高风险类别</w:t>
            </w:r>
          </w:p>
        </w:tc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通过</w:t>
            </w:r>
          </w:p>
        </w:tc>
      </w:tr>
      <w:tr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out_of_scope_no_answer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</w:tr>
      <w:tr>
        <w:tc>
          <w:tcPr>
            <w:tcW w:type="dxa" w:w="45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prompt_injection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</w:tr>
      <w:tr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publish_gate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15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15</w:t>
            </w:r>
          </w:p>
        </w:tc>
      </w:tr>
      <w:tr>
        <w:tc>
          <w:tcPr>
            <w:tcW w:type="dxa" w:w="45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temporal_boundary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</w:tr>
      <w:tr>
        <w:tc>
          <w:tcPr>
            <w:tcW w:type="dxa" w:w="45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unknown_preservation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25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8F6F3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结论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安全不是页面文案：UNKNOWN保留、有效期、证据门、Schema、规则冲突保护、人工发布门和无答案拒答均进入自动化回归。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07 性能、供应链与数据治理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24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并发</w:t>
            </w:r>
          </w:p>
        </w:tc>
        <w:tc>
          <w:tcPr>
            <w:tcW w:type="dxa" w:w="141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请求</w:t>
            </w:r>
          </w:p>
        </w:tc>
        <w:tc>
          <w:tcPr>
            <w:tcW w:type="dxa" w:w="158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P50</w:t>
            </w:r>
          </w:p>
        </w:tc>
        <w:tc>
          <w:tcPr>
            <w:tcW w:type="dxa" w:w="158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P95</w:t>
            </w:r>
          </w:p>
        </w:tc>
        <w:tc>
          <w:tcPr>
            <w:tcW w:type="dxa" w:w="181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吞吐</w:t>
            </w:r>
          </w:p>
        </w:tc>
        <w:tc>
          <w:tcPr>
            <w:tcW w:type="dxa" w:w="113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错误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58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6.1ms</w:t>
            </w:r>
          </w:p>
        </w:tc>
        <w:tc>
          <w:tcPr>
            <w:tcW w:type="dxa" w:w="158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25.8ms</w:t>
            </w:r>
          </w:p>
        </w:tc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84.9/s</w:t>
            </w:r>
          </w:p>
        </w:tc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</w:t>
            </w:r>
          </w:p>
        </w:tc>
        <w:tc>
          <w:tcPr>
            <w:tcW w:type="dxa" w:w="14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58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52.9ms</w:t>
            </w:r>
          </w:p>
        </w:tc>
        <w:tc>
          <w:tcPr>
            <w:tcW w:type="dxa" w:w="158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77.8ms</w:t>
            </w:r>
          </w:p>
        </w:tc>
        <w:tc>
          <w:tcPr>
            <w:tcW w:type="dxa" w:w="181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89.7/s</w:t>
            </w:r>
          </w:p>
        </w:tc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58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170.8ms</w:t>
            </w:r>
          </w:p>
        </w:tc>
        <w:tc>
          <w:tcPr>
            <w:tcW w:type="dxa" w:w="158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264.2ms</w:t>
            </w:r>
          </w:p>
        </w:tc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52.6/s</w:t>
            </w:r>
          </w:p>
        </w:tc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  <w:tc>
          <w:tcPr>
            <w:tcW w:type="dxa" w:w="14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58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435.2ms</w:t>
            </w:r>
          </w:p>
        </w:tc>
        <w:tc>
          <w:tcPr>
            <w:tcW w:type="dxa" w:w="158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671.2ms</w:t>
            </w:r>
          </w:p>
        </w:tc>
        <w:tc>
          <w:tcPr>
            <w:tcW w:type="dxa" w:w="181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41.2/s</w:t>
            </w:r>
          </w:p>
        </w:tc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58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657.9ms</w:t>
            </w:r>
          </w:p>
        </w:tc>
        <w:tc>
          <w:tcPr>
            <w:tcW w:type="dxa" w:w="158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883.5ms</w:t>
            </w:r>
          </w:p>
        </w:tc>
        <w:tc>
          <w:tcPr>
            <w:tcW w:type="dxa" w:w="181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36.6/s</w:t>
            </w:r>
          </w:p>
        </w:tc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并发数据来自单进程Uvicorn、本机回环网络、确定性只读接口；不是生产压测，也不代表大模型端点吞吐。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治理项</w:t>
            </w:r>
          </w:p>
        </w:tc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42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锁定依赖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46</w:t>
            </w:r>
          </w:p>
        </w:tc>
        <w:tc>
          <w:tcPr>
            <w:tcW w:type="dxa" w:w="442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安装齐全：True；版本一致：True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已知漏洞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  <w:tc>
          <w:tcPr>
            <w:tcW w:type="dxa" w:w="442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pip-audit覆盖46条；仅对扫描时点有效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数据资产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7</w:t>
            </w:r>
          </w:p>
        </w:tc>
        <w:tc>
          <w:tcPr>
            <w:tcW w:type="dxa" w:w="442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逐项记录来源、合成/独立性、隐私和SHA-256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模型权重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不进入源码包</w:t>
            </w:r>
          </w:p>
        </w:tc>
        <w:tc>
          <w:tcPr>
            <w:tcW w:type="dxa" w:w="442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记录标签、许可证、摘要与官方下载方式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原始真人/专家表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不进入公开包</w:t>
            </w:r>
          </w:p>
        </w:tc>
        <w:tc>
          <w:tcPr>
            <w:tcW w:type="dxa" w:w="442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只发布聚合报告；保留本地授权边界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08 真实性声明与人工事项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8F6F3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已经证明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软件闭环可运行；模型真实运行；证据逐字可追溯；内部基准、消融和工程测试可复现。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尚未证明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真实群众满意度、真实办事成功率、真实跑腿减少比例、基层实际使用规模和第三方认证。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8.1 必须由团队或外部参与者完成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真实参与者可用性试点或诚实标注为未完成；不得使用AI生成记录替代。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在另一台干净Windows电脑完成第三方安装与复现实验验收并签字。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团队复核现有3—5分钟演示视频的声音、字幕、画面清晰度和隐私遮挡。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填写最终团队编号、赛题名称、队员/学校信息，完成签字盖章和平台上传。</w:t>
      </w:r>
    </w:p>
    <w:p>
      <w:pPr>
        <w:pStyle w:val="Heading2"/>
        <w:spacing w:before="160" w:after="100"/>
      </w:pPr>
      <w:r>
        <w:t>8.2 文件级复核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所有正式数字可回链 data/evaluation 下的JSON/CSV和对应脚本。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作品书、答辩PPT和本佐证材料均明确数据性质与剩余边界。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发布ZIP排除数据库、日志、模型权重、专家原表、试点原表和QA中间文件。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color w:val="0E8A7A"/>
        <w:sz w:val="17"/>
      </w:rPr>
      <w:t>惠民智导 · 技术评测与工程佐证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52606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E8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惠民智导——技术评测与工程佐证材料</dc:title>
  <dc:subject>AI+软件创新赛道佐证材料</dc:subject>
  <dc:creator>策马奔腾</dc:creator>
  <cp:keywords>评测,证据链,可信AI,可复现,供应链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