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Microsoft YaHei" w:hAnsi="Microsoft YaHei" w:eastAsia="微软雅黑"/>
          <w:b/>
          <w:color w:val="000000"/>
          <w:sz w:val="56"/>
        </w:rPr>
        <w:t>惠民智导可信政策智能平台</w:t>
      </w:r>
    </w:p>
    <w:p>
      <w:pPr>
        <w:jc w:val="center"/>
      </w:pPr>
      <w:r>
        <w:rPr>
          <w:rFonts w:ascii="Microsoft YaHei" w:hAnsi="Microsoft YaHei" w:eastAsia="微软雅黑"/>
          <w:b/>
          <w:color w:val="102A43"/>
          <w:sz w:val="36"/>
        </w:rPr>
        <w:t>软件安装 运行 演示与故障处理说明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52606D"/>
          <w:sz w:val="22"/>
        </w:rPr>
        <w:t>V1.0.0 · Windows 本地部署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EAF2F8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0E8A7A"/>
                <w:sz w:val="21"/>
              </w:rPr>
              <w:t xml:space="preserve">用途  </w:t>
            </w:r>
            <w:r>
              <w:rPr>
                <w:rFonts w:ascii="Microsoft YaHei" w:hAnsi="Microsoft YaHei" w:eastAsia="微软雅黑"/>
                <w:b w:val="0"/>
                <w:color w:val="102A43"/>
                <w:sz w:val="20"/>
              </w:rPr>
              <w:t>本说明用于首次安装、现场演示和运行维护。系统输出是政策导办建议，不替代行政机关审批；模型不可用时会降级到确定性安全底座。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40" w:after="100"/>
      </w:pPr>
      <w:r>
        <w:t>01 运行条件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7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515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最低要求</w:t>
            </w:r>
          </w:p>
        </w:tc>
        <w:tc>
          <w:tcPr>
            <w:tcW w:type="dxa" w:w="3798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完整 AI 模式建议</w:t>
            </w:r>
          </w:p>
        </w:tc>
      </w:tr>
      <w:tr>
        <w:tc>
          <w:tcPr>
            <w:tcW w:type="dxa" w:w="187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操作系统</w:t>
            </w:r>
          </w:p>
        </w:tc>
        <w:tc>
          <w:tcPr>
            <w:tcW w:type="dxa" w:w="351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Windows 10 或 11，64 位</w:t>
            </w:r>
          </w:p>
        </w:tc>
        <w:tc>
          <w:tcPr>
            <w:tcW w:type="dxa" w:w="379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Windows 11</w:t>
            </w:r>
          </w:p>
        </w:tc>
      </w:tr>
      <w:tr>
        <w:tc>
          <w:tcPr>
            <w:tcW w:type="dxa" w:w="187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Python</w:t>
            </w:r>
          </w:p>
        </w:tc>
        <w:tc>
          <w:tcPr>
            <w:tcW w:type="dxa" w:w="351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3.11 或 3.12</w:t>
            </w:r>
          </w:p>
        </w:tc>
        <w:tc>
          <w:tcPr>
            <w:tcW w:type="dxa" w:w="379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3.12</w:t>
            </w:r>
          </w:p>
        </w:tc>
      </w:tr>
      <w:tr>
        <w:tc>
          <w:tcPr>
            <w:tcW w:type="dxa" w:w="187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内存</w:t>
            </w:r>
          </w:p>
        </w:tc>
        <w:tc>
          <w:tcPr>
            <w:tcW w:type="dxa" w:w="351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8GB</w:t>
            </w:r>
          </w:p>
        </w:tc>
        <w:tc>
          <w:tcPr>
            <w:tcW w:type="dxa" w:w="379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16GB 及以上</w:t>
            </w:r>
          </w:p>
        </w:tc>
      </w:tr>
      <w:tr>
        <w:tc>
          <w:tcPr>
            <w:tcW w:type="dxa" w:w="187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显卡</w:t>
            </w:r>
          </w:p>
        </w:tc>
        <w:tc>
          <w:tcPr>
            <w:tcW w:type="dxa" w:w="351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不要求，可运行确定性模式</w:t>
            </w:r>
          </w:p>
        </w:tc>
        <w:tc>
          <w:tcPr>
            <w:tcW w:type="dxa" w:w="379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NVIDIA RTX 4060 8GB 或同等级</w:t>
            </w:r>
          </w:p>
        </w:tc>
      </w:tr>
      <w:tr>
        <w:tc>
          <w:tcPr>
            <w:tcW w:type="dxa" w:w="187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磁盘</w:t>
            </w:r>
          </w:p>
        </w:tc>
        <w:tc>
          <w:tcPr>
            <w:tcW w:type="dxa" w:w="351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软件与依赖约 2GB</w:t>
            </w:r>
          </w:p>
        </w:tc>
        <w:tc>
          <w:tcPr>
            <w:tcW w:type="dxa" w:w="379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模型另需约 5GB</w:t>
            </w:r>
          </w:p>
        </w:tc>
      </w:tr>
      <w:tr>
        <w:tc>
          <w:tcPr>
            <w:tcW w:type="dxa" w:w="187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浏览器</w:t>
            </w:r>
          </w:p>
        </w:tc>
        <w:tc>
          <w:tcPr>
            <w:tcW w:type="dxa" w:w="351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Edge 或 Chrome 当前版本</w:t>
            </w:r>
          </w:p>
        </w:tc>
        <w:tc>
          <w:tcPr>
            <w:tcW w:type="dxa" w:w="379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Edge 或 Chrome 当前版本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1.1 两种运行方式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确定性模式：无需下载模型，完整运行规则裁决、证据展示、材料流程和治理演示，适合首次验收。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混合模式：在本机安装 Ollama 与指定模型后，增加自然语言结构化抽取和向量检索。最终资格状态仍由规则引擎裁决。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E8F6F3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0E8A7A"/>
                <w:sz w:val="21"/>
              </w:rPr>
              <w:t xml:space="preserve">建议  </w:t>
            </w:r>
            <w:r>
              <w:rPr>
                <w:rFonts w:ascii="Microsoft YaHei" w:hAnsi="Microsoft YaHei" w:eastAsia="微软雅黑"/>
                <w:b w:val="0"/>
                <w:color w:val="102A43"/>
                <w:sz w:val="20"/>
              </w:rPr>
              <w:t>第一次启动先使用确定性模式验证环境，再安装模型。这样更容易区分安装问题与模型运行问题。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40" w:after="100"/>
      </w:pPr>
      <w:r>
        <w:t>02 首次安装与启动</w:t>
      </w:r>
    </w:p>
    <w:p>
      <w:pPr>
        <w:pStyle w:val="Heading2"/>
        <w:spacing w:before="160" w:after="100"/>
      </w:pPr>
      <w:r>
        <w:t>2.1 解压与安装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把软件运行包完整解压到不含特殊权限限制的目录，例如 D:\HuiminGuide。不要直接在 ZIP 压缩包内部运行脚本。打开 PowerShell，进入解压目录后执行：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907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3572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4706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90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1</w:t>
            </w:r>
          </w:p>
        </w:tc>
        <w:tc>
          <w:tcPr>
            <w:tcW w:type="dxa" w:w="357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.\setup.ps1</w:t>
            </w:r>
          </w:p>
        </w:tc>
        <w:tc>
          <w:tcPr>
            <w:tcW w:type="dxa" w:w="4706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创建虚拟环境并安装锁定依赖</w:t>
            </w:r>
          </w:p>
        </w:tc>
      </w:tr>
      <w:tr>
        <w:tc>
          <w:tcPr>
            <w:tcW w:type="dxa" w:w="90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2</w:t>
            </w:r>
          </w:p>
        </w:tc>
        <w:tc>
          <w:tcPr>
            <w:tcW w:type="dxa" w:w="357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.\start.ps1 -AIMode deterministic</w:t>
            </w:r>
          </w:p>
        </w:tc>
        <w:tc>
          <w:tcPr>
            <w:tcW w:type="dxa" w:w="4706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以确定性安全模式启动</w:t>
            </w:r>
          </w:p>
        </w:tc>
      </w:tr>
      <w:tr>
        <w:tc>
          <w:tcPr>
            <w:tcW w:type="dxa" w:w="90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3</w:t>
            </w:r>
          </w:p>
        </w:tc>
        <w:tc>
          <w:tcPr>
            <w:tcW w:type="dxa" w:w="357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.\status.ps1</w:t>
            </w:r>
          </w:p>
        </w:tc>
        <w:tc>
          <w:tcPr>
            <w:tcW w:type="dxa" w:w="4706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查看端口、进程和健康状态</w:t>
            </w:r>
          </w:p>
        </w:tc>
      </w:tr>
      <w:tr>
        <w:tc>
          <w:tcPr>
            <w:tcW w:type="dxa" w:w="907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4</w:t>
            </w:r>
          </w:p>
        </w:tc>
        <w:tc>
          <w:tcPr>
            <w:tcW w:type="dxa" w:w="3572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.\logs.ps1</w:t>
            </w:r>
          </w:p>
        </w:tc>
        <w:tc>
          <w:tcPr>
            <w:tcW w:type="dxa" w:w="4706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查看最近启动日志</w:t>
            </w:r>
          </w:p>
        </w:tc>
      </w:tr>
      <w:tr>
        <w:tc>
          <w:tcPr>
            <w:tcW w:type="dxa" w:w="907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5</w:t>
            </w:r>
          </w:p>
        </w:tc>
        <w:tc>
          <w:tcPr>
            <w:tcW w:type="dxa" w:w="3572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.\stop.ps1</w:t>
            </w:r>
          </w:p>
        </w:tc>
        <w:tc>
          <w:tcPr>
            <w:tcW w:type="dxa" w:w="4706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安全停止本项目进程</w:t>
            </w:r>
          </w:p>
        </w:tc>
      </w:tr>
    </w:tbl>
    <w:p>
      <w:pPr>
        <w:spacing w:after="20"/>
      </w:pP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启动成功后访问 http://127.0.0.1:8000。若8000端口已被占用，执行 .\start.ps1 -Port 8010，并访问 http://127.0.0.1:8010。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FFF4D6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0E8A7A"/>
                <w:sz w:val="21"/>
              </w:rPr>
              <w:t xml:space="preserve">执行策略提示  </w:t>
            </w:r>
            <w:r>
              <w:rPr>
                <w:rFonts w:ascii="Microsoft YaHei" w:hAnsi="Microsoft YaHei" w:eastAsia="微软雅黑"/>
                <w:b w:val="0"/>
                <w:color w:val="102A43"/>
                <w:sz w:val="20"/>
              </w:rPr>
              <w:t>若系统阻止本地脚本，可在当前 PowerShell 会话执行 Set-ExecutionPolicy -Scope Process Bypass，然后重新运行脚本。该设置只影响当前窗口。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40" w:after="100"/>
      </w:pPr>
      <w:r>
        <w:t>03 启用本地 AI</w:t>
      </w:r>
    </w:p>
    <w:p>
      <w:pPr>
        <w:pStyle w:val="Heading2"/>
        <w:spacing w:before="160" w:after="100"/>
      </w:pPr>
      <w:r>
        <w:t>3.1 准备模型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安装 Ollama 后，按模型官方方式下载生成模型 qwen3:4b-instruct 与向量模型 qwen3-embedding:0.6b。模型权重不包含在软件包中。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969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5216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ollama list</w:t>
            </w:r>
          </w:p>
        </w:tc>
        <w:tc>
          <w:tcPr>
            <w:tcW w:type="dxa" w:w="5216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确认两个模型均已安装</w:t>
            </w:r>
          </w:p>
        </w:tc>
      </w:tr>
      <w:tr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.\start-ai-runtime.ps1</w:t>
            </w:r>
          </w:p>
        </w:tc>
        <w:tc>
          <w:tcPr>
            <w:tcW w:type="dxa" w:w="5216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检查并启动本地模型运行服务</w:t>
            </w:r>
          </w:p>
        </w:tc>
      </w:tr>
      <w:tr>
        <w:tc>
          <w:tcPr>
            <w:tcW w:type="dxa" w:w="3969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.\start.ps1 -AIMode hybrid</w:t>
            </w:r>
          </w:p>
        </w:tc>
        <w:tc>
          <w:tcPr>
            <w:tcW w:type="dxa" w:w="5216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启用结构化抽取与混合检索</w:t>
            </w:r>
          </w:p>
        </w:tc>
      </w:tr>
      <w:tr>
        <w:tc>
          <w:tcPr>
            <w:tcW w:type="dxa" w:w="3969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.\start.ps1 -AIMode auto</w:t>
            </w:r>
          </w:p>
        </w:tc>
        <w:tc>
          <w:tcPr>
            <w:tcW w:type="dxa" w:w="5216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模型齐全时自动选用混合模式，否则安全降级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t>3.2 判断是否启用成功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启动脚本应显示 AI 模式为 hybrid。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系统状态页应显示生成模型和向量模型可用。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若模型不可用，系统不会伪装成功，而会显示降级状态并继续提供确定性导办。</w:t>
      </w:r>
    </w:p>
    <w:p>
      <w:r>
        <w:br w:type="page"/>
      </w:r>
    </w:p>
    <w:p>
      <w:pPr>
        <w:pStyle w:val="Heading1"/>
        <w:spacing w:before="240" w:after="100"/>
      </w:pPr>
      <w:r>
        <w:t>04 功能与演示路径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53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端口</w:t>
            </w:r>
          </w:p>
        </w:tc>
        <w:tc>
          <w:tcPr>
            <w:tcW w:type="dxa" w:w="3798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855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建议演示</w:t>
            </w:r>
          </w:p>
        </w:tc>
      </w:tr>
      <w:tr>
        <w:tc>
          <w:tcPr>
            <w:tcW w:type="dxa" w:w="153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居民端</w:t>
            </w:r>
          </w:p>
        </w:tc>
        <w:tc>
          <w:tcPr>
            <w:tcW w:type="dxa" w:w="379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诉求输入、主动补问、资格预判、证据与材料清单</w:t>
            </w:r>
          </w:p>
        </w:tc>
        <w:tc>
          <w:tcPr>
            <w:tcW w:type="dxa" w:w="385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载入示例家庭，展示 UNKNOWN 与下一步</w:t>
            </w:r>
          </w:p>
        </w:tc>
      </w:tr>
      <w:tr>
        <w:tc>
          <w:tcPr>
            <w:tcW w:type="dxa" w:w="153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材料预检</w:t>
            </w:r>
          </w:p>
        </w:tc>
        <w:tc>
          <w:tcPr>
            <w:tcW w:type="dxa" w:w="379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图片或 PDF 选择反馈、OCR 候选、缺件与质量提示</w:t>
            </w:r>
          </w:p>
        </w:tc>
        <w:tc>
          <w:tcPr>
            <w:tcW w:type="dxa" w:w="385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分别上传清晰与模糊材料</w:t>
            </w:r>
          </w:p>
        </w:tc>
      </w:tr>
      <w:tr>
        <w:tc>
          <w:tcPr>
            <w:tcW w:type="dxa" w:w="153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工作人员端</w:t>
            </w:r>
          </w:p>
        </w:tc>
        <w:tc>
          <w:tcPr>
            <w:tcW w:type="dxa" w:w="379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结构化摘要、缺失事实、风险和政策依据</w:t>
            </w:r>
          </w:p>
        </w:tc>
        <w:tc>
          <w:tcPr>
            <w:tcW w:type="dxa" w:w="385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说明导办不替代人工审核</w:t>
            </w:r>
          </w:p>
        </w:tc>
      </w:tr>
      <w:tr>
        <w:tc>
          <w:tcPr>
            <w:tcW w:type="dxa" w:w="153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治理端</w:t>
            </w:r>
          </w:p>
        </w:tc>
        <w:tc>
          <w:tcPr>
            <w:tcW w:type="dxa" w:w="379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政策版本、候选规则、影响分析和人工发布门</w:t>
            </w:r>
          </w:p>
        </w:tc>
        <w:tc>
          <w:tcPr>
            <w:tcW w:type="dxa" w:w="385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展示模型不能直接发布规则</w:t>
            </w:r>
          </w:p>
        </w:tc>
      </w:tr>
      <w:tr>
        <w:tc>
          <w:tcPr>
            <w:tcW w:type="dxa" w:w="153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场景验证</w:t>
            </w:r>
          </w:p>
        </w:tc>
        <w:tc>
          <w:tcPr>
            <w:tcW w:type="dxa" w:w="3798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固定案例、时间边界、紧急风险和注入防护</w:t>
            </w:r>
          </w:p>
        </w:tc>
        <w:tc>
          <w:tcPr>
            <w:tcW w:type="dxa" w:w="385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按 A 至 F 顺序演示</w:t>
            </w:r>
          </w:p>
        </w:tc>
      </w:tr>
      <w:tr>
        <w:tc>
          <w:tcPr>
            <w:tcW w:type="dxa" w:w="153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可信度中心</w:t>
            </w:r>
          </w:p>
        </w:tc>
        <w:tc>
          <w:tcPr>
            <w:tcW w:type="dxa" w:w="3798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数据、模型、测试、安全和依赖状态</w:t>
            </w:r>
          </w:p>
        </w:tc>
        <w:tc>
          <w:tcPr>
            <w:tcW w:type="dxa" w:w="385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说明指标样本量与边界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E8F6F3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0E8A7A"/>
                <w:sz w:val="21"/>
              </w:rPr>
              <w:t xml:space="preserve">材料上传反馈  </w:t>
            </w:r>
            <w:r>
              <w:rPr>
                <w:rFonts w:ascii="Microsoft YaHei" w:hAnsi="Microsoft YaHei" w:eastAsia="微软雅黑"/>
                <w:b w:val="0"/>
                <w:color w:val="102A43"/>
                <w:sz w:val="20"/>
              </w:rPr>
              <w:t>选择文件后页面会显示文件名、数量、大小和可清空状态。出现“已成功选择”只表示浏览器已接收文件，不表示材料已经通过业务审核。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40" w:after="100"/>
      </w:pPr>
      <w:r>
        <w:t>05 管理员令牌与隐私</w:t>
      </w:r>
    </w:p>
    <w:p>
      <w:pPr>
        <w:pStyle w:val="Heading2"/>
        <w:spacing w:before="160" w:after="100"/>
      </w:pPr>
      <w:r>
        <w:t>5.1 联网或正式部署</w:t>
      </w:r>
    </w:p>
    <w:p>
      <w:pPr>
        <w:spacing w:after="100" w:line="300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仅在本机演示时可使用 development 环境。联网、局域网共享或正式部署前，必须复制 .env.example 为 .env，并设置 APP_ENV=production 与至少32位随机 ADMIN_API_TOKEN。生产环境未配置令牌时，程序会拒绝启动。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不要把真实令牌写入截图、PPT、视频、源代码或提交包。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管理员接口使用 X-Admin-Token 请求头；普通居民页面不应暴露该令牌。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咨询记录使用独立管理令牌，数据库只保存令牌哈希。</w:t>
      </w:r>
    </w:p>
    <w:p>
      <w:pPr>
        <w:pStyle w:val="Heading2"/>
        <w:spacing w:before="160" w:after="100"/>
      </w:pPr>
      <w:r>
        <w:t>5.2 数据处理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演示优先使用合成案例，不上传真实身份证、银行卡和未脱敏医疗材料。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运行数据库、日志、PID、端口记录和模型权重不进入公开软件包。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微软雅黑"/>
          <w:b w:val="0"/>
          <w:color w:val="52606D"/>
          <w:sz w:val="21"/>
        </w:rPr>
        <w:t>停止演示后检查 storage 目录，按授权范围处理现场产生的数据。</w:t>
      </w:r>
    </w:p>
    <w:p>
      <w:r>
        <w:br w:type="page"/>
      </w:r>
    </w:p>
    <w:p>
      <w:pPr>
        <w:pStyle w:val="Heading1"/>
        <w:spacing w:before="240" w:after="100"/>
      </w:pPr>
      <w:r>
        <w:t>06 常见问题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24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2835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4025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8000端口被占用</w:t>
            </w:r>
          </w:p>
        </w:tc>
        <w:tc>
          <w:tcPr>
            <w:tcW w:type="dxa" w:w="28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已有服务或其他程序监听</w:t>
            </w:r>
          </w:p>
        </w:tc>
        <w:tc>
          <w:tcPr>
            <w:tcW w:type="dxa" w:w="402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先运行 .\status.ps1；必要时改用 -Port 8010</w:t>
            </w:r>
          </w:p>
        </w:tc>
      </w:tr>
      <w:tr>
        <w:tc>
          <w:tcPr>
            <w:tcW w:type="dxa" w:w="232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提示尚未初始化</w:t>
            </w:r>
          </w:p>
        </w:tc>
        <w:tc>
          <w:tcPr>
            <w:tcW w:type="dxa" w:w="283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虚拟环境不存在</w:t>
            </w:r>
          </w:p>
        </w:tc>
        <w:tc>
          <w:tcPr>
            <w:tcW w:type="dxa" w:w="402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运行 .\setup.ps1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启动后健康检查失败</w:t>
            </w:r>
          </w:p>
        </w:tc>
        <w:tc>
          <w:tcPr>
            <w:tcW w:type="dxa" w:w="28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依赖、端口或配置错误</w:t>
            </w:r>
          </w:p>
        </w:tc>
        <w:tc>
          <w:tcPr>
            <w:tcW w:type="dxa" w:w="402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运行 .\logs.ps1 查看 storage\server.err.log</w:t>
            </w:r>
          </w:p>
        </w:tc>
      </w:tr>
      <w:tr>
        <w:tc>
          <w:tcPr>
            <w:tcW w:type="dxa" w:w="232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页面仍显示旧样式</w:t>
            </w:r>
          </w:p>
        </w:tc>
        <w:tc>
          <w:tcPr>
            <w:tcW w:type="dxa" w:w="283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浏览器或 Service Worker 缓存</w:t>
            </w:r>
          </w:p>
        </w:tc>
        <w:tc>
          <w:tcPr>
            <w:tcW w:type="dxa" w:w="402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强制刷新，必要时清除该站点缓存后重开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AI状态不可用</w:t>
            </w:r>
          </w:p>
        </w:tc>
        <w:tc>
          <w:tcPr>
            <w:tcW w:type="dxa" w:w="28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Ollama未启动或模型标签不匹配</w:t>
            </w:r>
          </w:p>
        </w:tc>
        <w:tc>
          <w:tcPr>
            <w:tcW w:type="dxa" w:w="402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运行 ollama list，再执行 start-ai-runtime.ps1</w:t>
            </w:r>
          </w:p>
        </w:tc>
      </w:tr>
      <w:tr>
        <w:tc>
          <w:tcPr>
            <w:tcW w:type="dxa" w:w="2324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上传后无结果</w:t>
            </w:r>
          </w:p>
        </w:tc>
        <w:tc>
          <w:tcPr>
            <w:tcW w:type="dxa" w:w="283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只选择了文件但尚未执行检查，或文件超限</w:t>
            </w:r>
          </w:p>
        </w:tc>
        <w:tc>
          <w:tcPr>
            <w:tcW w:type="dxa" w:w="4025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确认已显示文件清单，再点击材料检查并查看提示</w:t>
            </w:r>
          </w:p>
        </w:tc>
      </w:tr>
      <w:tr>
        <w:tc>
          <w:tcPr>
            <w:tcW w:type="dxa" w:w="2324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stop.ps1拒绝停止</w:t>
            </w:r>
          </w:p>
        </w:tc>
        <w:tc>
          <w:tcPr>
            <w:tcW w:type="dxa" w:w="283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端口上的进程不属于本项目环境</w:t>
            </w:r>
          </w:p>
        </w:tc>
        <w:tc>
          <w:tcPr>
            <w:tcW w:type="dxa" w:w="4025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按日志和PID人工确认，避免误杀其他程序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40" w:after="100"/>
      </w:pPr>
      <w:r>
        <w:t>07 验收清单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91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6293"/>
            <w:shd w:fill="102A4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289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安装</w:t>
            </w:r>
          </w:p>
        </w:tc>
        <w:tc>
          <w:tcPr>
            <w:tcW w:type="dxa" w:w="629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setup.ps1无错误，锁定依赖安装完成</w:t>
            </w:r>
          </w:p>
        </w:tc>
      </w:tr>
      <w:tr>
        <w:tc>
          <w:tcPr>
            <w:tcW w:type="dxa" w:w="289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启动</w:t>
            </w:r>
          </w:p>
        </w:tc>
        <w:tc>
          <w:tcPr>
            <w:tcW w:type="dxa" w:w="6293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健康检查通过，浏览器可访问，页面版本为V1.0.0</w:t>
            </w:r>
          </w:p>
        </w:tc>
      </w:tr>
      <w:tr>
        <w:tc>
          <w:tcPr>
            <w:tcW w:type="dxa" w:w="289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路由</w:t>
            </w:r>
          </w:p>
        </w:tc>
        <w:tc>
          <w:tcPr>
            <w:tcW w:type="dxa" w:w="629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居民端、工作人员端、治理端和场景验证页面可切换</w:t>
            </w:r>
          </w:p>
        </w:tc>
      </w:tr>
      <w:tr>
        <w:tc>
          <w:tcPr>
            <w:tcW w:type="dxa" w:w="289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上传</w:t>
            </w:r>
          </w:p>
        </w:tc>
        <w:tc>
          <w:tcPr>
            <w:tcW w:type="dxa" w:w="6293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选择文件后显示文件名、数量、大小和清空按钮</w:t>
            </w:r>
          </w:p>
        </w:tc>
      </w:tr>
      <w:tr>
        <w:tc>
          <w:tcPr>
            <w:tcW w:type="dxa" w:w="289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证据</w:t>
            </w:r>
          </w:p>
        </w:tc>
        <w:tc>
          <w:tcPr>
            <w:tcW w:type="dxa" w:w="629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导办结果能查看逐字政策原文、来源和适用日期</w:t>
            </w:r>
          </w:p>
        </w:tc>
      </w:tr>
      <w:tr>
        <w:tc>
          <w:tcPr>
            <w:tcW w:type="dxa" w:w="289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安全</w:t>
            </w:r>
          </w:p>
        </w:tc>
        <w:tc>
          <w:tcPr>
            <w:tcW w:type="dxa" w:w="6293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信息不足返回UNKNOWN；注入和越权请求被阻断</w:t>
            </w:r>
          </w:p>
        </w:tc>
      </w:tr>
      <w:tr>
        <w:tc>
          <w:tcPr>
            <w:tcW w:type="dxa" w:w="2891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降级</w:t>
            </w:r>
          </w:p>
        </w:tc>
        <w:tc>
          <w:tcPr>
            <w:tcW w:type="dxa" w:w="6293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关闭Ollama后仍能在确定性模式运行，并显示真实状态</w:t>
            </w:r>
          </w:p>
        </w:tc>
      </w:tr>
      <w:tr>
        <w:tc>
          <w:tcPr>
            <w:tcW w:type="dxa" w:w="2891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停止</w:t>
            </w:r>
          </w:p>
        </w:tc>
        <w:tc>
          <w:tcPr>
            <w:tcW w:type="dxa" w:w="6293"/>
            <w:shd w:fill="F5F7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color w:val="102A43"/>
                <w:sz w:val="17"/>
              </w:rPr>
              <w:t>stop.ps1只停止本项目进程，端口释放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972"/>
            <w:shd w:fill="FFF4D6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0E8A7A"/>
                <w:sz w:val="21"/>
              </w:rPr>
              <w:t xml:space="preserve">边界  </w:t>
            </w:r>
            <w:r>
              <w:rPr>
                <w:rFonts w:ascii="Microsoft YaHei" w:hAnsi="Microsoft YaHei" w:eastAsia="微软雅黑"/>
                <w:b w:val="0"/>
                <w:color w:val="102A43"/>
                <w:sz w:val="20"/>
              </w:rPr>
              <w:t>真实群众可用性、办事成功率、跑腿减少比例和基层实际采用情况，必须由真实试点产生。本软件包中的内部评测不能替代这些外部证据。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微软雅黑"/>
        <w:b w:val="0"/>
        <w:color w:val="0E8A7A"/>
        <w:sz w:val="17"/>
      </w:rPr>
      <w:t>惠民智导 · 软件使用说明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color w:val="52606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惠民智导可信政策智能平台软件使用说明</dc:title>
  <dc:subject>安装运行演示与故障处理</dc:subject>
  <dc:creator>策马奔腾</dc:creator>
  <cp:keywords>惠民智导, 安装, 运行, 演示, 故障处理, 隐私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