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季度经营分析报告</w:t>
      </w:r>
    </w:p>
    <w:p>
      <w:r>
        <w:t>本报告覆盖 2026 年第三季度的整体经营情况。</w:t>
      </w:r>
    </w:p>
    <w:p>
      <w:pPr>
        <w:pStyle w:val="Heading2"/>
      </w:pPr>
      <w:r>
        <w:t>收入情况</w:t>
      </w:r>
    </w:p>
    <w:p>
      <w:r>
        <w:t>营业收入达到 1.2 亿元，同比增长 18%。</w:t>
      </w:r>
    </w:p>
    <w:p>
      <w:r>
        <w:t>毛利率为 42%，较上季度提升 3 个百分点。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本季度</w:t>
            </w:r>
          </w:p>
        </w:tc>
        <w:tc>
          <w:tcPr>
            <w:tcW w:type="dxa" w:w="2880"/>
          </w:tcPr>
          <w:p>
            <w:r>
              <w:t>上季度</w:t>
            </w:r>
          </w:p>
        </w:tc>
      </w:tr>
      <w:tr>
        <w:tc>
          <w:tcPr>
            <w:tcW w:type="dxa" w:w="2880"/>
          </w:tcPr>
          <w:p>
            <w:r>
              <w:t>营业收入</w:t>
            </w:r>
          </w:p>
        </w:tc>
        <w:tc>
          <w:tcPr>
            <w:tcW w:type="dxa" w:w="2880"/>
          </w:tcPr>
          <w:p>
            <w:r>
              <w:t>1.2亿</w:t>
            </w:r>
          </w:p>
        </w:tc>
        <w:tc>
          <w:tcPr>
            <w:tcW w:type="dxa" w:w="2880"/>
          </w:tcPr>
          <w:p>
            <w:r>
              <w:t>1.02亿</w:t>
            </w:r>
          </w:p>
        </w:tc>
      </w:tr>
      <w:tr>
        <w:tc>
          <w:tcPr>
            <w:tcW w:type="dxa" w:w="2880"/>
          </w:tcPr>
          <w:p>
            <w:r>
              <w:t>毛利率</w:t>
            </w:r>
          </w:p>
        </w:tc>
        <w:tc>
          <w:tcPr>
            <w:tcW w:type="dxa" w:w="2880"/>
          </w:tcPr>
          <w:p>
            <w:r>
              <w:t>42%</w:t>
            </w:r>
          </w:p>
        </w:tc>
        <w:tc>
          <w:tcPr>
            <w:tcW w:type="dxa" w:w="2880"/>
          </w:tcPr>
          <w:p>
            <w:r>
              <w:t>39%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