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Software Design Description</w:t>
      </w:r>
    </w:p>
    <w:p>
      <w:pPr>
        <w:pStyle w:val="Subtitle"/>
      </w:pPr>
      <w:r>
        <w:t xml:space="preserve">CP DRE Automation Assessment</w:t>
      </w:r>
    </w:p>
    <w:p>
      <w:pPr>
        <w:pStyle w:val="Normal"/>
      </w:pPr>
      <w:r>
        <w:t xml:space="preserve">Architecture baseline: repository implementation as of 2026-03-04</w:t>
      </w:r>
    </w:p>
    <w:p>
      <w:pPr>
        <w:pStyle w:val="Normal"/>
      </w:pPr>
      <w:r>
        <w:t xml:space="preserve">Document type: IEEE 1016-inspired Software Design Description (architecture-focused write-up)</w:t>
      </w:r>
    </w:p>
    <w:p>
      <w:pPr>
        <w:pStyle w:val="Heading1"/>
      </w:pPr>
      <w:r>
        <w:t xml:space="preserve">1. Introduction</w:t>
      </w:r>
    </w:p>
    <w:p>
      <w:pPr>
        <w:pStyle w:val="Heading2"/>
      </w:pPr>
      <w:r>
        <w:t xml:space="preserve">1.1 Purpose</w:t>
      </w:r>
    </w:p>
    <w:p>
      <w:pPr>
        <w:pStyle w:val="Normal"/>
      </w:pPr>
      <w:r>
        <w:t xml:space="preserve">This document describes the current software design of the CP DRE Automation Assessment repository. It explains the implemented architecture, the major software elements, their interfaces, deployment topologies, and the rationale behind the main design choices. IEEE 1016 was used as a guide rather than as a strict template; the document is therefore organized around stakeholder concerns, architectural views, and design rationale.</w:t>
      </w:r>
    </w:p>
    <w:p>
      <w:pPr>
        <w:pStyle w:val="Heading2"/>
      </w:pPr>
      <w:r>
        <w:t xml:space="preserve">1.2 Scope</w:t>
      </w:r>
    </w:p>
    <w:p>
      <w:pPr>
        <w:pStyle w:val="Normal"/>
      </w:pPr>
      <w:r>
        <w:t xml:space="preserve">The system under design is the repository-delivered automation solution that packages Kong Gateway with infrastructure provisioning, configuration management, observability, CI validation, and operational recovery tooling. The scope includes the active local Minikube path, the AWS ECS/Fargate path, the Azure single-host path, and the associated verification and recovery automation.</w:t>
      </w:r>
    </w:p>
    <w:p>
      <w:pPr>
        <w:pStyle w:val="Heading2"/>
      </w:pPr>
      <w:r>
        <w:t xml:space="preserve">1.3 Intended Audience</w:t>
      </w:r>
    </w:p>
    <w:p>
      <w:pPr>
        <w:pStyle w:val="Normal"/>
      </w:pPr>
      <w:r>
        <w:t xml:space="preserve">Intended readers are platform engineers, site reliability engineers, reviewers of the assessment deliverable, and operators responsible for local or cloud deployment, validation, and recovery.</w:t>
      </w:r>
    </w:p>
    <w:p>
      <w:pPr>
        <w:pStyle w:val="Heading2"/>
      </w:pPr>
      <w:r>
        <w:t xml:space="preserve">1.4 Referenced Design Artifacts</w:t>
      </w:r>
    </w:p>
    <w:p>
      <w:pPr>
        <w:pStyle w:val="Normal"/>
      </w:pPr>
      <w:r>
        <w:t xml:space="preserve">Primary design references in the repository include README.md, docs/RECOVERY_RUNBOOK.md, anisible/playbooks/site.yml, anisible/roles/minikube/tasks/main.yml, anisible/roles/kong/tasks/main.yml, anisible/roles/observability/tasks/main.yml, minikube/manifests/, terraform/environments/local/, terraform/environments/aws/, terraform/environments/azure/, local-runtime.sh, auto-remediation.py, persistent-data.sh, and the GitHub Actions workflows under .github/workflows/.</w:t>
      </w:r>
    </w:p>
    <w:p>
      <w:pPr>
        <w:pStyle w:val="Heading1"/>
      </w:pPr>
      <w:r>
        <w:t xml:space="preserve">2. Design Context</w:t>
      </w:r>
    </w:p>
    <w:p>
      <w:pPr>
        <w:pStyle w:val="Heading2"/>
      </w:pPr>
      <w:r>
        <w:t xml:space="preserve">2.1 System Mission</w:t>
      </w:r>
    </w:p>
    <w:p>
      <w:pPr>
        <w:pStyle w:val="Normal"/>
      </w:pPr>
      <w:r>
        <w:t xml:space="preserve">The solution demonstrates a multi-environment delivery model for Kong Gateway. Its mission is to show that the same application intent can be delivered through different runtime substrates while keeping infrastructure definition, configuration management, validation, observability, and recovery procedures in a single repository.</w:t>
      </w:r>
    </w:p>
    <w:p>
      <w:pPr>
        <w:pStyle w:val="Heading2"/>
      </w:pPr>
      <w:r>
        <w:t xml:space="preserve">2.2 Stakeholders and Concerns</w:t>
      </w:r>
    </w:p>
    <w:p>
      <w:pPr>
        <w:pStyle w:val="Normal"/>
      </w:pPr>
      <w:r>
        <w:t xml:space="preserve">Developers need a reproducible local path for building and testing changes. Operators need controlled management access, observable runtime behavior, and recovery procedures. Reviewers need traceability from repository contents to deployment outcomes. CI needs deterministic validation and smoke coverage. Cloud operators need infrastructure-native deployment patterns rather than a one-size-fits-all abstraction that ignores platform differences.</w:t>
      </w:r>
    </w:p>
    <w:p>
      <w:pPr>
        <w:pStyle w:val="Heading2"/>
      </w:pPr>
      <w:r>
        <w:t xml:space="preserve">2.3 Architectural Drivers</w:t>
      </w:r>
    </w:p>
    <w:p>
      <w:pPr>
        <w:pStyle w:val="Normal"/>
      </w:pPr>
      <w:r>
        <w:t xml:space="preserve">The dominant design drivers are portability across local and cloud targets, declarative provisioning, operational observability, guarded recovery, security hygiene for management endpoints, and automated validation. Secondary drivers are simplicity for the Azure host path, Kubernetes-native scaling demonstration for the local path, and managed-service alignment for AWS observability.</w:t>
      </w:r>
    </w:p>
    <w:p>
      <w:pPr>
        <w:pStyle w:val="Heading2"/>
      </w:pPr>
      <w:r>
        <w:t xml:space="preserve">2.4 Constraints and Assumptions</w:t>
      </w:r>
    </w:p>
    <w:p>
      <w:pPr>
        <w:pStyle w:val="Normal"/>
      </w:pPr>
      <w:r>
        <w:t xml:space="preserve">The design assumes Docker, Terraform, Python, Ansible, and for the local path Minikube and kubectl. The repository intentionally preserves existing directory names such as anisible and promethusGrafana. The local path is stateful for Kong Postgres, Prometheus, and Grafana. Cloud credentials, Terraform state handling, and privileged host operations remain external operational concerns.</w:t>
      </w:r>
    </w:p>
    <w:p>
      <w:pPr>
        <w:pStyle w:val="Heading1"/>
      </w:pPr>
      <w:r>
        <w:t xml:space="preserve">3. System Overview</w:t>
      </w:r>
    </w:p>
    <w:p>
      <w:pPr>
        <w:pStyle w:val="Heading2"/>
      </w:pPr>
      <w:r>
        <w:t xml:space="preserve">3.1 Layered Delivery Model</w:t>
      </w:r>
    </w:p>
    <w:p>
      <w:pPr>
        <w:pStyle w:val="Normal"/>
      </w:pPr>
      <w:r>
        <w:t xml:space="preserve">The implemented design is layered. Terraform provisions or prepares the target environment. Ansible configures the target host or local execution context. Runtime manifests or Compose definitions launch Kong and observability components. Test scripts verify behavior after deployment. Recovery scripts provide evidence capture, backup and restore, and rebuild orchestration.</w:t>
      </w:r>
    </w:p>
    <w:p>
      <w:pPr>
        <w:pStyle w:val="Heading2"/>
      </w:pPr>
      <w:r>
        <w:t xml:space="preserve">3.2 High-Level Flow</w:t>
      </w:r>
    </w:p>
    <w:p>
      <w:pPr>
        <w:pStyle w:val="Normal"/>
      </w:pPr>
      <w:r>
        <w:t xml:space="preserve">Source change -&gt; GitHub Actions validation -&gt; Terraform environment provisioning or handoff -&gt; Ansible deployment -&gt; Kong runtime bootstrap -&gt; Prometheus metrics collection -&gt; Grafana visualization -&gt; automated verification and operational recovery tooling.</w:t>
      </w:r>
    </w:p>
    <w:p>
      <w:pPr>
        <w:pStyle w:val="Heading1"/>
      </w:pPr>
      <w:r>
        <w:t xml:space="preserve">4. Architectural Views</w:t>
      </w:r>
    </w:p>
    <w:p>
      <w:pPr>
        <w:pStyle w:val="Heading2"/>
      </w:pPr>
      <w:r>
        <w:t xml:space="preserve">4.1 Context View</w:t>
      </w:r>
    </w:p>
    <w:p>
      <w:pPr>
        <w:pStyle w:val="Normal"/>
      </w:pPr>
      <w:r>
        <w:t xml:space="preserve">External actors include developers, CI runners, local operators, and cloud operators. Developers interact with local-runtime.sh, tests, and Terraform/Ansible entry points. CI runners execute validation and smoke workflows. Local operators access Kong, Prometheus, and Grafana through localhost port-forwards or NodePort exposure. Cloud operators access AWS outputs or Azure VM endpoints and use the recovery scripts and runbook for major incidents.</w:t>
      </w:r>
    </w:p>
    <w:p>
      <w:pPr>
        <w:pStyle w:val="Heading2"/>
      </w:pPr>
      <w:r>
        <w:t xml:space="preserve">4.2 Decomposition View</w:t>
      </w:r>
    </w:p>
    <w:p>
      <w:pPr>
        <w:pStyle w:val="Normal"/>
      </w:pPr>
      <w:r>
        <w:t xml:space="preserve">The solution decomposes into six primary design elements: infrastructure provisioning, configuration management, runtime definitions, observability configuration, verification automation, and recovery automation.</w:t>
      </w:r>
    </w:p>
    <w:p>
      <w:pPr>
        <w:pStyle w:val="Normal"/>
      </w:pPr>
      <w:r>
        <w:t xml:space="preserve">Infrastructure provisioning is implemented in Terraform. The local environment generates a host inventory and variable handoff for Ansible rather than provisioning infrastructure. The AWS environment provisions VPC networking, load balancing, ECS/Fargate resources, secrets, EFS persistence, autoscaling, and optionally managed observability. The Azure environment provisions a resource group, network, NSG, NIC, public IP, and a Linux VM initialized with Docker Compose artifacts.</w:t>
      </w:r>
    </w:p>
    <w:p>
      <w:pPr>
        <w:pStyle w:val="Normal"/>
      </w:pPr>
      <w:r>
        <w:t xml:space="preserve">Configuration management is implemented in Ansible. Shared roles cover Docker installation, Kong configuration, self-hosted observability assets, and the Minikube deployment path. The site playbook resolves generated secrets, computes execution-user details for the local path, and dispatches to the appropriate roles.</w:t>
      </w:r>
    </w:p>
    <w:p>
      <w:pPr>
        <w:pStyle w:val="Normal"/>
      </w:pPr>
      <w:r>
        <w:t xml:space="preserve">Runtime definitions are split by environment. Kubernetes manifests under minikube/ define namespace-scoped workloads for local execution. Docker Compose templates and Terraform cloud-init templates define the Azure host runtime and the repository smoke-test compose stacks.</w:t>
      </w:r>
    </w:p>
    <w:p>
      <w:pPr>
        <w:pStyle w:val="Normal"/>
      </w:pPr>
      <w:r>
        <w:t xml:space="preserve">Observability configuration includes Prometheus scrape jobs, alerting and recording rules, Grafana datasource provisioning, and a provisioned Kong dashboard. The AWS path uses Amazon Managed Prometheus and Amazon Managed Grafana when enabled, while local and Compose paths use self-hosted Prometheus and Grafana.</w:t>
      </w:r>
    </w:p>
    <w:p>
      <w:pPr>
        <w:pStyle w:val="Normal"/>
      </w:pPr>
      <w:r>
        <w:t xml:space="preserve">Verification automation is implemented in Python test programs. These scripts verify the Kong Admin API, proxy traffic, Prometheus target health, Grafana health, dashboard availability, and HPA behavior under load.</w:t>
      </w:r>
    </w:p>
    <w:p>
      <w:pPr>
        <w:pStyle w:val="Normal"/>
      </w:pPr>
      <w:r>
        <w:t xml:space="preserve">Recovery automation is implemented through local-runtime.sh, auto-remediation.py, persistent-data.sh, and terraform/disaster-recovery.sh. Together these provide guarded deploy and rollback, health classification, backup and restore, evidence capture, and environment rebuild entry points.</w:t>
      </w:r>
    </w:p>
    <w:p>
      <w:pPr>
        <w:pStyle w:val="Heading2"/>
      </w:pPr>
      <w:r>
        <w:t xml:space="preserve">4.3 Local Deployment View</w:t>
      </w:r>
    </w:p>
    <w:p>
      <w:pPr>
        <w:pStyle w:val="Normal"/>
      </w:pPr>
      <w:r>
        <w:t xml:space="preserve">The active local architecture uses Terraform only as a handoff generator. terraform/environments/local writes a generated inventory and variables file. Ansible then installs Minikube and kubectl, creates a local cluster using the Docker driver, and applies repository-managed manifests.</w:t>
      </w:r>
    </w:p>
    <w:p>
      <w:pPr>
        <w:pStyle w:val="Normal"/>
      </w:pPr>
      <w:r>
        <w:t xml:space="preserve">Inside the local cluster, the kong namespace contains: a PostgreSQL deployment backed by a PVC, a Kong bootstrap job that applies migrations and imports the repository-managed declarative configuration into the database, a Kong deployment and service, a dedicated NodePort service for the proxy, an httpbin upstream deployment, a Prometheus deployment and service, a Grafana deployment and service, and a HorizontalPodAutoscaler for Kong based on CPU and memory utilization.</w:t>
      </w:r>
    </w:p>
    <w:p>
      <w:pPr>
        <w:pStyle w:val="Normal"/>
      </w:pPr>
      <w:r>
        <w:t xml:space="preserve">The local runtime is deliberately Kubernetes-native rather than Compose-based because the assessment needs to demonstrate autoscaling behavior. Minikube provides a practical single-node environment for HPA validation and allows the design to model production-style controller behavior such as rollout status checks, jobs, services, and PVC-backed state.</w:t>
      </w:r>
    </w:p>
    <w:p>
      <w:pPr>
        <w:pStyle w:val="Normal"/>
      </w:pPr>
      <w:r>
        <w:t xml:space="preserve">Management interfaces are not broadly exposed in the local path. Kong Admin API, Kong Manager, Prometheus, and Grafana are primarily cluster-internal and are accessed through port-forwarding to localhost. Only the proxy remains on a NodePort by default. This limits accidental exposure while keeping the operator workflow simple.</w:t>
      </w:r>
    </w:p>
    <w:p>
      <w:pPr>
        <w:pStyle w:val="Heading2"/>
      </w:pPr>
      <w:r>
        <w:t xml:space="preserve">4.4 AWS Deployment View</w:t>
      </w:r>
    </w:p>
    <w:p>
      <w:pPr>
        <w:pStyle w:val="Normal"/>
      </w:pPr>
      <w:r>
        <w:t xml:space="preserve">The AWS architecture uses a dedicated module under terraform/environments/aws/modules/aws-ecs-service. It provisions a VPC with two public subnets across two availability zones, an internet-facing Application Load Balancer, an ECS cluster, a Fargate service, IAM roles, CloudWatch log groups, EFS-backed persistence for the Postgres container, Secrets Manager secrets for Kong and management secrets, ECS service autoscaling policies, and optional Amazon Managed Prometheus and Amazon Managed Grafana integration.</w:t>
      </w:r>
    </w:p>
    <w:p>
      <w:pPr>
        <w:pStyle w:val="Normal"/>
      </w:pPr>
      <w:r>
        <w:t xml:space="preserve">The ECS task definition contains at least three cooperating containers: PostgreSQL, a Kong bootstrap container, and the Kong container itself. The bootstrap container waits for PostgreSQL health, runs migrations, and imports the Kong configuration before the main Kong container is considered ready. When managed observability is enabled, an additional Prometheus-agent-style collector container remote-writes Kong metrics into AMP.</w:t>
      </w:r>
    </w:p>
    <w:p>
      <w:pPr>
        <w:pStyle w:val="Normal"/>
      </w:pPr>
      <w:r>
        <w:t xml:space="preserve">The AWS design uses ALB and Fargate because the environment is intended to be cloud-native and operationally lighter than VM management. It uses EFS for the Postgres data path so that task replacement does not discard Kong database state. It uses Secrets Manager so credentials are injected into containers rather than hard-coded in task definitions. It uses managed observability because the platform can delegate Prometheus storage and Grafana hosting to AWS services instead of self-hosting those control-plane components.</w:t>
      </w:r>
    </w:p>
    <w:p>
      <w:pPr>
        <w:pStyle w:val="Heading2"/>
      </w:pPr>
      <w:r>
        <w:t xml:space="preserve">4.5 Azure Deployment View</w:t>
      </w:r>
    </w:p>
    <w:p>
      <w:pPr>
        <w:pStyle w:val="Normal"/>
      </w:pPr>
      <w:r>
        <w:t xml:space="preserve">The Azure architecture is intentionally simpler. Terraform provisions a resource group, VNet, subnet, NSG, public IP, NIC, and a Linux VM. Cloud-init renders Docker Compose, Kong configuration, and secret-bearing environment files directly onto the host. Kong and PostgreSQL run as a Compose stack on the VM, with Kong Admin API and Manager bound to localhost unless explicitly published.</w:t>
      </w:r>
    </w:p>
    <w:p>
      <w:pPr>
        <w:pStyle w:val="Normal"/>
      </w:pPr>
      <w:r>
        <w:t xml:space="preserve">This path exists to demonstrate host-based deployment automation rather than container orchestration. The design choice trades some elasticity and managed-service integration for implementation simplicity, direct SSH-based operability, and a deployment style suitable for a smaller footprint or lower-complexity environment.</w:t>
      </w:r>
    </w:p>
    <w:p>
      <w:pPr>
        <w:pStyle w:val="Heading2"/>
      </w:pPr>
      <w:r>
        <w:t xml:space="preserve">4.6 Data View</w:t>
      </w:r>
    </w:p>
    <w:p>
      <w:pPr>
        <w:pStyle w:val="Normal"/>
      </w:pPr>
      <w:r>
        <w:t xml:space="preserve">The repository-managed Kong route and plugin configuration is the source of truth for initial gateway behavior. In the active local and AWS paths, that configuration is imported into PostgreSQL during bootstrap rather than served in fully DB-less mode. Postgres therefore becomes authoritative runtime state after import. Prometheus stores metrics history in self-hosted local deployments. Grafana stores application state in its own SQLite-backed data directory in the local path. AWS externalizes much of observability state into managed services.</w:t>
      </w:r>
    </w:p>
    <w:p>
      <w:pPr>
        <w:pStyle w:val="Normal"/>
      </w:pPr>
      <w:r>
        <w:t xml:space="preserve">The persistence model is intentionally environment-specific. Local Minikube uses PVCs for Kong Postgres, Prometheus, and Grafana so that pod recreation does not destroy test data or dashboards. AWS persists Kong Postgres on EFS for task durability. Azure uses host-persistent Docker volumes and files on the VM.</w:t>
      </w:r>
    </w:p>
    <w:p>
      <w:pPr>
        <w:pStyle w:val="Heading2"/>
      </w:pPr>
      <w:r>
        <w:t xml:space="preserve">4.7 Interface View</w:t>
      </w:r>
    </w:p>
    <w:p>
      <w:pPr>
        <w:pStyle w:val="Normal"/>
      </w:pPr>
      <w:r>
        <w:t xml:space="preserve">Operator-facing interfaces are primarily shell entry points and HTTP endpoints. local-runtime.sh provides up, down, toggle, status, verify, rollback, and auto-rollback behavior. auto-remediation.py provides detect, remediate, and watch actions. persistent-data.sh provides inspect, backup, and restore actions. terraform/disaster-recovery.sh provides plan and rebuild wrappers for local, AWS, and Azure. Runtime HTTP interfaces include Kong proxy on port 8000, Kong Admin on 8001, Kong Manager on 8002, Prometheus on 9090, and Grafana on 3000, with exposure varying by environment.</w:t>
      </w:r>
    </w:p>
    <w:p>
      <w:pPr>
        <w:pStyle w:val="Heading1"/>
      </w:pPr>
      <w:r>
        <w:t xml:space="preserve">5. Design Decisions and Rationale</w:t>
      </w:r>
    </w:p>
    <w:p>
      <w:pPr>
        <w:pStyle w:val="Heading2"/>
      </w:pPr>
      <w:r>
        <w:t xml:space="preserve">5.1 Terraform Plus Ansible Separation</w:t>
      </w:r>
    </w:p>
    <w:p>
      <w:pPr>
        <w:pStyle w:val="Normal"/>
      </w:pPr>
      <w:r>
        <w:t xml:space="preserve">Terraform is used for resource provisioning and handoff generation; Ansible is used for software configuration and deployment sequencing. The separation keeps infrastructure concerns distinct from host and cluster configuration concerns. It also matches the heterogeneity of the three targets: local needs a handoff, AWS needs provisioning, and Azure needs VM initialization.</w:t>
      </w:r>
    </w:p>
    <w:p>
      <w:pPr>
        <w:pStyle w:val="Heading2"/>
      </w:pPr>
      <w:r>
        <w:t xml:space="preserve">5.2 Environment-Specific Runtime Patterns</w:t>
      </w:r>
    </w:p>
    <w:p>
      <w:pPr>
        <w:pStyle w:val="Normal"/>
      </w:pPr>
      <w:r>
        <w:t xml:space="preserve">The design deliberately does not force the same runtime substrate in every environment. Local uses Minikube to demonstrate HPA and Kubernetes operations. AWS uses ECS/Fargate to align with managed container services. Azure uses a single VM and Compose to keep the host-based path straightforward. The rationale is pragmatic portability: consistent application intent, different platform-native realizations.</w:t>
      </w:r>
    </w:p>
    <w:p>
      <w:pPr>
        <w:pStyle w:val="Heading2"/>
      </w:pPr>
      <w:r>
        <w:t xml:space="preserve">5.3 Database-Backed Kong in the Active Local and AWS Paths</w:t>
      </w:r>
    </w:p>
    <w:p>
      <w:pPr>
        <w:pStyle w:val="Normal"/>
      </w:pPr>
      <w:r>
        <w:t xml:space="preserve">Kong is backed by PostgreSQL in the active local path and in AWS. This supports bootstrap import, durable state, and closer alignment with a management-plane-oriented production setup. The tradeoff is added persistence complexity, which is addressed through PVCs locally and EFS in AWS.</w:t>
      </w:r>
    </w:p>
    <w:p>
      <w:pPr>
        <w:pStyle w:val="Heading2"/>
      </w:pPr>
      <w:r>
        <w:t xml:space="preserve">5.4 Bootstrap Job or Sidecar Pattern</w:t>
      </w:r>
    </w:p>
    <w:p>
      <w:pPr>
        <w:pStyle w:val="Normal"/>
      </w:pPr>
      <w:r>
        <w:t xml:space="preserve">The design uses a dedicated bootstrap execution step before the main Kong runtime becomes available. In Minikube this is implemented as a Kubernetes Job. In ECS it is implemented as a bootstrap container that must succeed before Kong starts. The rationale is explicit lifecycle separation: schema migration and initial configuration import are setup responsibilities, not long-running service responsibilities.</w:t>
      </w:r>
    </w:p>
    <w:p>
      <w:pPr>
        <w:pStyle w:val="Heading2"/>
      </w:pPr>
      <w:r>
        <w:t xml:space="preserve">5.5 Restricted Management Exposure</w:t>
      </w:r>
    </w:p>
    <w:p>
      <w:pPr>
        <w:pStyle w:val="Normal"/>
      </w:pPr>
      <w:r>
        <w:t xml:space="preserve">Admin and observability interfaces default to localhost or cluster-internal exposure. The rationale is security hygiene. Kong proxy traffic needs external reachability, but Admin API, Manager UI, Prometheus, and Grafana do not need to be public by default. This reduces accidental exposure while preserving operator access through port-forwarding, SSH, or private service access.</w:t>
      </w:r>
    </w:p>
    <w:p>
      <w:pPr>
        <w:pStyle w:val="Heading2"/>
      </w:pPr>
      <w:r>
        <w:t xml:space="preserve">5.6 Managed Observability on AWS, Self-Hosted Locally</w:t>
      </w:r>
    </w:p>
    <w:p>
      <w:pPr>
        <w:pStyle w:val="Normal"/>
      </w:pPr>
      <w:r>
        <w:t xml:space="preserve">Self-hosted Prometheus and Grafana are used locally because they are easy to inspect, easy to run under Minikube, and align with the assessment’s reproducible local story. AWS favors AMP and AMG because managed services reduce the operational surface and better reflect cloud-native delegation. The design therefore optimizes for transparency locally and operational leverage in AWS.</w:t>
      </w:r>
    </w:p>
    <w:p>
      <w:pPr>
        <w:pStyle w:val="Heading2"/>
      </w:pPr>
      <w:r>
        <w:t xml:space="preserve">5.7 Verification and Recovery as First-Class Design Elements</w:t>
      </w:r>
    </w:p>
    <w:p>
      <w:pPr>
        <w:pStyle w:val="Normal"/>
      </w:pPr>
      <w:r>
        <w:t xml:space="preserve">Verification scripts and recovery wrappers are part of the design rather than afterthoughts. local-runtime.sh can verify and roll back. auto-remediation.py can classify failures, attempt safe redeploy, restore from backup, or escalate to rebuild. persistent-data.sh captures stateful assets. This design was chosen because reliability is a core assessment concern; operability is treated as architecture, not just documentation.</w:t>
      </w:r>
    </w:p>
    <w:p>
      <w:pPr>
        <w:pStyle w:val="Heading1"/>
      </w:pPr>
      <w:r>
        <w:t xml:space="preserve">6. Quality Attributes</w:t>
      </w:r>
    </w:p>
    <w:p>
      <w:pPr>
        <w:pStyle w:val="Heading2"/>
      </w:pPr>
      <w:r>
        <w:t xml:space="preserve">6.1 Portability</w:t>
      </w:r>
    </w:p>
    <w:p>
      <w:pPr>
        <w:pStyle w:val="Normal"/>
      </w:pPr>
      <w:r>
        <w:t xml:space="preserve">The repository supports multiple deployment targets from the same codebase. Portability is achieved by keeping Kong configuration and much of observability configuration source-controlled while allowing runtime-specific orchestration patterns.</w:t>
      </w:r>
    </w:p>
    <w:p>
      <w:pPr>
        <w:pStyle w:val="Heading2"/>
      </w:pPr>
      <w:r>
        <w:t xml:space="preserve">6.2 Security</w:t>
      </w:r>
    </w:p>
    <w:p>
      <w:pPr>
        <w:pStyle w:val="Normal"/>
      </w:pPr>
      <w:r>
        <w:t xml:space="preserve">Security-sensitive values are generated per deployment or sourced from cloud secrets systems. Management interfaces are private by default. This is not a zero-trust design, but it is materially safer than exposing all control endpoints publicly with static shared credentials.</w:t>
      </w:r>
    </w:p>
    <w:p>
      <w:pPr>
        <w:pStyle w:val="Heading2"/>
      </w:pPr>
      <w:r>
        <w:t xml:space="preserve">6.3 Scalability</w:t>
      </w:r>
    </w:p>
    <w:p>
      <w:pPr>
        <w:pStyle w:val="Normal"/>
      </w:pPr>
      <w:r>
        <w:t xml:space="preserve">Scalability is demonstrated directly in the local Kubernetes path through HPA and in AWS through ECS service autoscaling based on CPU, memory, and request metrics. Azure intentionally does not implement orchestration-level scaling; that environment optimizes for simplicity rather than elastic behavior.</w:t>
      </w:r>
    </w:p>
    <w:p>
      <w:pPr>
        <w:pStyle w:val="Heading2"/>
      </w:pPr>
      <w:r>
        <w:t xml:space="preserve">6.4 Operability</w:t>
      </w:r>
    </w:p>
    <w:p>
      <w:pPr>
        <w:pStyle w:val="Normal"/>
      </w:pPr>
      <w:r>
        <w:t xml:space="preserve">The design exposes strong operator entry points: deployment wrappers, test scripts, backup and restore automation, evidence capture, and a recovery runbook. Logs and metrics are surfaced explicitly. Cloud and local behaviors are documented and scriptable.</w:t>
      </w:r>
    </w:p>
    <w:p>
      <w:pPr>
        <w:pStyle w:val="Heading2"/>
      </w:pPr>
      <w:r>
        <w:t xml:space="preserve">6.5 Recoverability</w:t>
      </w:r>
    </w:p>
    <w:p>
      <w:pPr>
        <w:pStyle w:val="Normal"/>
      </w:pPr>
      <w:r>
        <w:t xml:space="preserve">Recoverability is supported through rollback metadata, rebuild wrappers, backup and restore for persistent data, and automated local remediation loops. The design recognizes that state exists and therefore distinguishes between rebuild-first and restore-first scenarios depending on the environment and component.</w:t>
      </w:r>
    </w:p>
    <w:p>
      <w:pPr>
        <w:pStyle w:val="Heading2"/>
      </w:pPr>
      <w:r>
        <w:t xml:space="preserve">6.6 Testability</w:t>
      </w:r>
    </w:p>
    <w:p>
      <w:pPr>
        <w:pStyle w:val="Normal"/>
      </w:pPr>
      <w:r>
        <w:t xml:space="preserve">CI validates Terraform syntax and formatting, Ansible syntax and linting, local Minikube HPA behavior, and observability behavior. The same repository also contains local post-deployment verification scripts, which reduces the gap between developer validation and CI smoke coverage.</w:t>
      </w:r>
    </w:p>
    <w:p>
      <w:pPr>
        <w:pStyle w:val="Heading2"/>
      </w:pPr>
      <w:r>
        <w:t xml:space="preserve">6.7 Notable Limitations</w:t>
      </w:r>
    </w:p>
    <w:p>
      <w:pPr>
        <w:pStyle w:val="Normal"/>
      </w:pPr>
      <w:r>
        <w:t xml:space="preserve">The local path depends on host prerequisites and privilege escalation. The environment-specific topologies are intentionally different, so exact runtime equivalence is not a goal. Terraform state and external credentials remain critical assets outside repository control. The local runtime writes generated state into the repository working tree, which is why those artifacts are ignored in Git.</w:t>
      </w:r>
    </w:p>
    <w:p>
      <w:pPr>
        <w:pStyle w:val="Heading1"/>
      </w:pPr>
      <w:r>
        <w:t xml:space="preserve">7. Traceability to Implementation</w:t>
      </w:r>
    </w:p>
    <w:p>
      <w:pPr>
        <w:pStyle w:val="Normal"/>
      </w:pPr>
      <w:r>
        <w:t xml:space="preserve">Local handoff generation: terraform/modules/local-handoff/main.tf and terraform/environments/local/. AWS deployment: terraform/environments/aws/main.tf and terraform/environments/aws/modules/aws-ecs-service/. Azure deployment: terraform/environments/azure/main.tf and terraform/modules/azure-single-host/main.tf. Ansible orchestration: anisible/playbooks/site.yml and anisible/roles/. Local Kubernetes runtime: minikube/manifests/ and anisible/roles/minikube/tasks/main.yml. Verification: tests/TP_LOCAL_STACK_VERIFICATION_V001.py, tests/TP_DASHBOARD_CONTENT_CORRECTNESS_V001.py, tests/TP_HPA_SCALING_UNDER_LOAD_V001.py. Recovery: local-runtime.sh, auto-remediation.py, persistent-data.sh, terraform/disaster-recovery.sh. CI validation: .github/workflows/terraform-ci.yml, .github/workflows/ansible-ci.yml, .github/workflows/minikube-hpa-smoke.yml, and .github/workflows/observability-smoke.yml.</w:t>
      </w:r>
    </w:p>
    <w:p>
      <w:pPr>
        <w:pStyle w:val="Heading1"/>
      </w:pPr>
      <w:r>
        <w:t xml:space="preserve">8. Conclusion</w:t>
      </w:r>
    </w:p>
    <w:p>
      <w:pPr>
        <w:pStyle w:val="Normal"/>
      </w:pPr>
      <w:r>
        <w:t xml:space="preserve">The current architecture is intentionally hybrid rather than uniform. It keeps the application intent stable while allowing each environment to use an implementation pattern appropriate to its operating model: Minikube for local Kubernetes and autoscaling demonstration, ECS/Fargate plus managed services for AWS, and a single VM with Compose for Azure. The supporting design choices around secret generation, management endpoint exposure, verification, and recovery are consistent with the operational objectives of the assessment.</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basedOn w:val="Normal"/>
    <w:qFormat/>
    <w:pPr>
      <w:jc w:val="center"/>
    </w:pPr>
    <w:rPr>
      <w:b/>
      <w:sz w:val="32"/>
      <w:szCs w:val="32"/>
    </w:rPr>
  </w:style>
  <w:style w:type="paragraph" w:styleId="Subtitle">
    <w:name w:val="Subtitle"/>
    <w:basedOn w:val="Normal"/>
    <w:qFormat/>
    <w:pPr>
      <w:jc w:val="center"/>
    </w:pPr>
    <w:rPr>
      <w:i/>
      <w:sz w:val="24"/>
      <w:szCs w:val="24"/>
    </w:rPr>
  </w:style>
  <w:style w:type="paragraph" w:styleId="Heading1">
    <w:name w:val="heading 1"/>
    <w:basedOn w:val="Normal"/>
    <w:next w:val="Normal"/>
    <w:qFormat/>
    <w:rPr>
      <w:b/>
      <w:sz w:val="28"/>
      <w:szCs w:val="28"/>
    </w:rPr>
  </w:style>
  <w:style w:type="paragraph" w:styleId="Heading2">
    <w:name w:val="heading 2"/>
    <w:basedOn w:val="Normal"/>
    <w:next w:val="Normal"/>
    <w:qFormat/>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Description - CP DRE Automation Assessment</dc:title>
  <dc:subject>IEEE 1016 inspired architecture description</dc:subject>
  <dc:creator>OpenAI Codex</dc:creator>
  <cp:keywords>software design description, architecture, IEEE 1016, Kong, Terraform, Ansible, Minikube, AWS, Azure</cp:keywords>
  <dc:description>Architecture-focused software design description for the current repository implementation.</dc:description>
  <cp:lastModifiedBy>OpenAI Codex</cp:lastModifiedBy>
  <dcterms:created xsi:type="dcterms:W3CDTF">2026-03-04T10:51:19Z</dcterms:created>
  <dcterms:modified xsi:type="dcterms:W3CDTF">2026-03-04T10:51:19Z</dcterms:modified>
</cp:coreProperties>
</file>