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F6B35"/>
          <w:sz w:val="20"/>
          <w:szCs w:val="20"/>
        </w:rPr>
        <w:t xml:space="preserve">CLASE 9 · PROYECTO CAPSTONE</w:t>
      </w:r>
    </w:p>
    <w:p>
      <w:pPr>
        <w:spacing w:after="120"/>
      </w:pPr>
      <w:r>
        <w:rPr>
          <w:b/>
          <w:bCs/>
          <w:color w:val="1428A0"/>
          <w:sz w:val="40"/>
          <w:szCs w:val="40"/>
        </w:rPr>
        <w:t xml:space="preserve">Hoja de trabajo: del prototipo al pitch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0"/>
      </w:tblGrid>
      <w:tr>
        <w:trPr>
          <w:cantSplit/>
        </w:trPr>
        <w:tc>
          <w:tcPr>
            <w:tcW w:type="dxa" w:w="30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shd w:fill="EE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28A0"/>
                <w:sz w:val="20"/>
                <w:szCs w:val="20"/>
              </w:rPr>
              <w:t xml:space="preserve">Equipo</w:t>
            </w:r>
          </w:p>
        </w:tc>
        <w:tc>
          <w:tcPr>
            <w:tcW w:type="dxa" w:w="110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SIC Clone Radar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shd w:fill="EE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28A0"/>
                <w:sz w:val="20"/>
                <w:szCs w:val="20"/>
              </w:rPr>
              <w:t xml:space="preserve">Integrantes</w:t>
            </w:r>
          </w:p>
        </w:tc>
        <w:tc>
          <w:tcPr>
            <w:tcW w:type="dxa" w:w="110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[Nombres de integrantes del equipo]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shd w:fill="EE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28A0"/>
                <w:sz w:val="20"/>
                <w:szCs w:val="20"/>
              </w:rPr>
              <w:t xml:space="preserve">Tema del proyecto</w:t>
            </w:r>
          </w:p>
        </w:tc>
        <w:tc>
          <w:tcPr>
            <w:tcW w:type="dxa" w:w="110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Sistema asistido por IA para detección y documentación de similitudes entre videojuegos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428A0"/>
          <w:sz w:val="28"/>
          <w:szCs w:val="28"/>
        </w:rPr>
        <w:t xml:space="preserve">1. Perfil del cliente exprés (10 minutos)</w:t>
      </w:r>
    </w:p>
    <w:p>
      <w:pPr>
        <w:spacing w:after="80"/>
      </w:pPr>
      <w:r>
        <w:rPr>
          <w:i/>
          <w:iCs/>
          <w:color w:val="5A6275"/>
          <w:sz w:val="19"/>
          <w:szCs w:val="19"/>
        </w:rPr>
        <w:t xml:space="preserve">Piensa en la persona que usaría tu prototipo. Máximo 3 elementos por casilla. Parte por la persona, no por la tecnología.</w:t>
      </w:r>
    </w:p>
    <w:p>
      <w:pPr>
        <w:spacing w:after="80"/>
      </w:pPr>
      <w:r>
        <w:t>Cliente (¿qué persona, en qué situación?): Desarrollador de videojuegos indie o pequeño estudio que publica demos/avances y sospecha o teme que terceros repliquen oportunistamente sus mecánicas, recursos o código en plataformas como Roblox, Fortnite o Steam.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66"/>
        <w:gridCol w:w="4667"/>
        <w:gridCol w:w="4667"/>
      </w:tblGrid>
      <w:tr>
        <w:trPr>
          <w:cantSplit/>
        </w:trPr>
        <w:tc>
          <w:tcPr>
            <w:tcW w:type="dxa" w:w="4666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shd w:fill="1428A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Trabajos: ¿qué intenta lograr?</w:t>
            </w:r>
          </w:p>
        </w:tc>
        <w:tc>
          <w:tcPr>
            <w:tcW w:type="dxa" w:w="4667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shd w:fill="1428A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Frustraciones: ¿qué le molesta o le cuesta hoy?</w:t>
            </w:r>
          </w:p>
        </w:tc>
        <w:tc>
          <w:tcPr>
            <w:tcW w:type="dxa" w:w="4667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shd w:fill="1428A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Alegrías: ¿qué le gustaría que pasara?</w:t>
            </w:r>
          </w:p>
        </w:tc>
      </w:tr>
      <w:tr>
        <w:trPr>
          <w:cantSplit/>
          <w:trHeight w:val="700" w:hRule="atLeast"/>
        </w:trPr>
        <w:tc>
          <w:tcPr>
            <w:tcW w:type="dxa" w:w="4666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1. Detectar si existen videojuegos en el mercado con descripciones o mecánicas idénticas a su obra.</w:t>
            </w:r>
          </w:p>
        </w:tc>
        <w:tc>
          <w:tcPr>
            <w:tcW w:type="dxa" w:w="4667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1. Proliferación acelerada de clones generados con IA en tiendas digitales antes de su propio lanzamiento oficial.</w:t>
            </w:r>
          </w:p>
        </w:tc>
        <w:tc>
          <w:tcPr>
            <w:tcW w:type="dxa" w:w="4667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1. Recibir alertas tempranas y un reporte técnico preliminar con evidencia objetiva de similitud.</w:t>
            </w:r>
          </w:p>
        </w:tc>
      </w:tr>
      <w:tr>
        <w:trPr>
          <w:cantSplit/>
          <w:trHeight w:val="700" w:hRule="atLeast"/>
        </w:trPr>
        <w:tc>
          <w:tcPr>
            <w:tcW w:type="dxa" w:w="4666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2. Documentar evidencia técnica objetiva y comparable (términos clave, fechas) para evaluar acciones legales.</w:t>
            </w:r>
          </w:p>
        </w:tc>
        <w:tc>
          <w:tcPr>
            <w:tcW w:type="dxa" w:w="4667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2. Dificultad para diferenciar entre coincidencias legítimas de género y copias ilegítimas de software.</w:t>
            </w:r>
          </w:p>
        </w:tc>
        <w:tc>
          <w:tcPr>
            <w:tcW w:type="dxa" w:w="4667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2. Explicabilidad clara de qué términos o mecánicas explican el parecido entre los juegos.</w:t>
            </w:r>
          </w:p>
        </w:tc>
      </w:tr>
      <w:tr>
        <w:trPr>
          <w:cantSplit/>
          <w:trHeight w:val="700" w:hRule="atLeast"/>
        </w:trPr>
        <w:tc>
          <w:tcPr>
            <w:tcW w:type="dxa" w:w="4666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3. Monitorear el ecosistema de lanzamientos sin auditar manualmente miles de títulos en múltiples plataformas.</w:t>
            </w:r>
          </w:p>
        </w:tc>
        <w:tc>
          <w:tcPr>
            <w:tcW w:type="dxa" w:w="4667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3. Alto costo de tiempo y peritajes técnicos especializados sin datos preliminares fundamentados.</w:t>
            </w:r>
          </w:p>
        </w:tc>
        <w:tc>
          <w:tcPr>
            <w:tcW w:type="dxa" w:w="4667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3. Proteger la originalidad y la inversión de meses de trabajo independiente antes de perder mercado.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428A0"/>
          <w:sz w:val="28"/>
          <w:szCs w:val="28"/>
        </w:rPr>
        <w:t xml:space="preserve">2. Frase de valor (5 minutos)</w:t>
      </w:r>
    </w:p>
    <w:p>
      <w:pPr>
        <w:spacing w:after="80"/>
      </w:pPr>
      <w:r>
        <w:rPr>
          <w:i/>
          <w:iCs/>
          <w:color w:val="5A6275"/>
          <w:sz w:val="19"/>
          <w:szCs w:val="19"/>
        </w:rPr>
        <w:t xml:space="preserve">Ayudamos a [quién] a [lograr qué], usando [qué solución de IA], a diferencia de [cómo se hace hoy].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0"/>
      </w:tblGrid>
      <w:tr>
        <w:trPr>
          <w:cantSplit/>
        </w:trPr>
        <w:tc>
          <w:tcPr>
            <w:tcW w:type="dxa" w:w="30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shd w:fill="EE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28A0"/>
                <w:sz w:val="20"/>
                <w:szCs w:val="20"/>
              </w:rPr>
              <w:t xml:space="preserve">Ayudamos a</w:t>
            </w:r>
          </w:p>
        </w:tc>
        <w:tc>
          <w:tcPr>
            <w:tcW w:type="dxa" w:w="110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Desarrolladores independientes y analistas de videojuegos</w:t>
            </w:r>
          </w:p>
        </w:tc>
      </w:tr>
      <w:tr>
        <w:trPr>
          <w:cantSplit/>
          <w:trHeight w:val="500" w:hRule="atLeast"/>
        </w:trPr>
        <w:tc>
          <w:tcPr>
            <w:tcW w:type="dxa" w:w="30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shd w:fill="EE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28A0"/>
                <w:sz w:val="20"/>
                <w:szCs w:val="20"/>
              </w:rPr>
              <w:t xml:space="preserve">a</w:t>
            </w:r>
          </w:p>
        </w:tc>
        <w:tc>
          <w:tcPr>
            <w:tcW w:type="dxa" w:w="110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Detectar, cuantificar y documentar coincidencias y posibles réplicas entre videojuegos</w:t>
            </w:r>
          </w:p>
        </w:tc>
      </w:tr>
      <w:tr>
        <w:trPr>
          <w:cantSplit/>
          <w:trHeight w:val="500" w:hRule="atLeast"/>
        </w:trPr>
        <w:tc>
          <w:tcPr>
            <w:tcW w:type="dxa" w:w="30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shd w:fill="EE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28A0"/>
                <w:sz w:val="20"/>
                <w:szCs w:val="20"/>
              </w:rPr>
              <w:t xml:space="preserve">usando</w:t>
            </w:r>
          </w:p>
        </w:tc>
        <w:tc>
          <w:tcPr>
            <w:tcW w:type="dxa" w:w="110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Un sistema asistido por IA multimodal (TF-IDF + embeddings de imagen con DBSCAN y similitud explicable)</w:t>
            </w:r>
          </w:p>
        </w:tc>
      </w:tr>
      <w:tr>
        <w:trPr>
          <w:cantSplit/>
          <w:trHeight w:val="500" w:hRule="atLeast"/>
        </w:trPr>
        <w:tc>
          <w:tcPr>
            <w:tcW w:type="dxa" w:w="30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shd w:fill="EE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28A0"/>
                <w:sz w:val="20"/>
                <w:szCs w:val="20"/>
              </w:rPr>
              <w:t xml:space="preserve">a diferencia de</w:t>
            </w:r>
          </w:p>
        </w:tc>
        <w:tc>
          <w:tcPr>
            <w:tcW w:type="dxa" w:w="110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Búsquedas manuales subjetivas, denuncias basadas solo en sospechas visuales o costosos peritajes técnicos</w:t>
            </w:r>
          </w:p>
        </w:tc>
      </w:tr>
    </w:tbl>
    <w:p>
      <w:pPr>
        <w:pStyle w:val="Heading2"/>
        <w:pageBreakBefore/>
        <w:spacing w:after="100" w:before="240"/>
      </w:pPr>
      <w:r>
        <w:rPr>
          <w:b/>
          <w:bCs/>
          <w:color w:val="1428A0"/>
          <w:sz w:val="28"/>
          <w:szCs w:val="28"/>
        </w:rPr>
        <w:t xml:space="preserve">3. Test Card (antes de construir)</w:t>
      </w:r>
    </w:p>
    <w:p>
      <w:pPr>
        <w:spacing w:after="80"/>
      </w:pPr>
      <w:r>
        <w:rPr>
          <w:i/>
          <w:iCs/>
          <w:color w:val="5A6275"/>
          <w:sz w:val="19"/>
          <w:szCs w:val="19"/>
        </w:rPr>
        <w:t xml:space="preserve">El umbral es lo más importante: sin un número, no hay forma de saber si la prueba salió bien o mal.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0200"/>
      </w:tblGrid>
      <w:tr>
        <w:trPr>
          <w:cantSplit/>
        </w:trPr>
        <w:tc>
          <w:tcPr>
            <w:tcW w:type="dxa" w:w="38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shd w:fill="EE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28A0"/>
                <w:sz w:val="20"/>
                <w:szCs w:val="20"/>
              </w:rPr>
              <w:t xml:space="preserve">Creemos que</w:t>
            </w:r>
          </w:p>
        </w:tc>
        <w:tc>
          <w:tcPr>
            <w:tcW w:type="dxa" w:w="102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Combinar distancias de texto e imagen con clustering DBSCAN permite separar clones reales de juegos que solo comparten género, superando los falsos positivos del análisis léxico aislado.</w:t>
            </w:r>
          </w:p>
        </w:tc>
      </w:tr>
      <w:tr>
        <w:trPr>
          <w:cantSplit/>
          <w:trHeight w:val="600" w:hRule="atLeast"/>
        </w:trPr>
        <w:tc>
          <w:tcPr>
            <w:tcW w:type="dxa" w:w="38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shd w:fill="EE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28A0"/>
                <w:sz w:val="20"/>
                <w:szCs w:val="20"/>
              </w:rPr>
              <w:t xml:space="preserve">Para verificarlo, vamos a</w:t>
            </w:r>
          </w:p>
        </w:tc>
        <w:tc>
          <w:tcPr>
            <w:tcW w:type="dxa" w:w="102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Evaluar el modelo en un dataset controlado de 28 juegos con grupos de clones (Escape the Walls, Farm Tycoon, Racing Legends) y 13 juegos señuelo del mismo género.</w:t>
            </w:r>
          </w:p>
        </w:tc>
      </w:tr>
      <w:tr>
        <w:trPr>
          <w:cantSplit/>
          <w:trHeight w:val="600" w:hRule="atLeast"/>
        </w:trPr>
        <w:tc>
          <w:tcPr>
            <w:tcW w:type="dxa" w:w="38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shd w:fill="EE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28A0"/>
                <w:sz w:val="20"/>
                <w:szCs w:val="20"/>
              </w:rPr>
              <w:t xml:space="preserve">Mediremos</w:t>
            </w:r>
          </w:p>
        </w:tc>
        <w:tc>
          <w:tcPr>
            <w:tcW w:type="dxa" w:w="102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Precisión, Recall y F1-score mediante barrido de eps en DBSCAN, comparando la línea base (TF-IDF) frente al modelo base (texto + imagen).</w:t>
            </w:r>
          </w:p>
        </w:tc>
      </w:tr>
      <w:tr>
        <w:trPr>
          <w:cantSplit/>
          <w:trHeight w:val="600" w:hRule="atLeast"/>
        </w:trPr>
        <w:tc>
          <w:tcPr>
            <w:tcW w:type="dxa" w:w="38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shd w:fill="EE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28A0"/>
                <w:sz w:val="20"/>
                <w:szCs w:val="20"/>
              </w:rPr>
              <w:t xml:space="preserve">Tenemos razón si (con número)</w:t>
            </w:r>
          </w:p>
        </w:tc>
        <w:tc>
          <w:tcPr>
            <w:tcW w:type="dxa" w:w="102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El modelo base supera el 85% de precisión y 80% de F1. (Resultado experimental: F1 = 0.912, Precisión = 1.000 con eps = 0.60, frente a F1 = 0.636 y Precisión = 0.479 de la línea base).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428A0"/>
          <w:sz w:val="28"/>
          <w:szCs w:val="28"/>
        </w:rPr>
        <w:t xml:space="preserve">4. Casos probados en el prototipo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0"/>
        <w:gridCol w:w="3500"/>
        <w:gridCol w:w="4500"/>
      </w:tblGrid>
      <w:tr>
        <w:trPr>
          <w:cantSplit/>
        </w:trPr>
        <w:tc>
          <w:tcPr>
            <w:tcW w:type="dxa" w:w="10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shd w:fill="1428A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Caso</w:t>
            </w:r>
          </w:p>
        </w:tc>
        <w:tc>
          <w:tcPr>
            <w:tcW w:type="dxa" w:w="50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shd w:fill="1428A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ingresamos</w:t>
            </w:r>
          </w:p>
        </w:tc>
        <w:tc>
          <w:tcPr>
            <w:tcW w:type="dxa" w:w="35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shd w:fill="1428A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predijo</w:t>
            </w:r>
          </w:p>
        </w:tc>
        <w:tc>
          <w:tcPr>
            <w:tcW w:type="dxa" w:w="45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shd w:fill="1428A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¿Tiene sentido? ¿Por qué?</w:t>
            </w:r>
          </w:p>
        </w:tc>
      </w:tr>
      <w:tr>
        <w:trPr>
          <w:cantSplit/>
          <w:trHeight w:val="700" w:hRule="atLeast"/>
        </w:trPr>
        <w:tc>
          <w:tcPr>
            <w:tcW w:type="dxa" w:w="10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233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Escape the Walls vs. Escape Walls Obby (Clon evidente)</w:t>
            </w:r>
          </w:p>
        </w:tc>
        <w:tc>
          <w:tcPr>
            <w:tcW w:type="dxa" w:w="35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Sim. texto 0.00 | Sim. imagen 0.52 | Sim. combinada 0.26 -&gt; Agrupados en el mismo cluster por el modelo base</w:t>
            </w:r>
          </w:p>
        </w:tc>
        <w:tc>
          <w:tcPr>
            <w:tcW w:type="dxa" w:w="45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Sí. A pesar de la reescritura del texto con sinónimos, la coincidencia visual y temática detecta el clon.</w:t>
            </w:r>
          </w:p>
        </w:tc>
      </w:tr>
      <w:tr>
        <w:trPr>
          <w:cantSplit/>
          <w:trHeight w:val="700" w:hRule="atLeast"/>
        </w:trPr>
        <w:tc>
          <w:tcPr>
            <w:tcW w:type="dxa" w:w="10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233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Escape the Walls vs. Escape the Lab (Mismo género / Señuelo)</w:t>
            </w:r>
          </w:p>
        </w:tc>
        <w:tc>
          <w:tcPr>
            <w:tcW w:type="dxa" w:w="35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Sim. texto 0.00 | Sim. imagen -0.04 | Sim. combinada -0.02 -&gt; Discriminados en clusters distintos</w:t>
            </w:r>
          </w:p>
        </w:tc>
        <w:tc>
          <w:tcPr>
            <w:tcW w:type="dxa" w:w="45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Sí. Comparte palabras clave de escape pero el modelo identifica que es una mecánica legítima independiente.</w:t>
            </w:r>
          </w:p>
        </w:tc>
      </w:tr>
      <w:tr>
        <w:trPr>
          <w:cantSplit/>
          <w:trHeight w:val="700" w:hRule="atLeast"/>
        </w:trPr>
        <w:tc>
          <w:tcPr>
            <w:tcW w:type="dxa" w:w="10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233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Escape the Walls vs. Farm Tycoon (Sin relación)</w:t>
            </w:r>
          </w:p>
        </w:tc>
        <w:tc>
          <w:tcPr>
            <w:tcW w:type="dxa" w:w="35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Sim. texto 0.00 | Sim. imagen 0.33 | Sim. combinada 0.16 -&gt; Discriminados en clusters distintos</w:t>
            </w:r>
          </w:p>
        </w:tc>
        <w:tc>
          <w:tcPr>
            <w:tcW w:type="dxa" w:w="45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Totalmente. No comparten género, visuales ni mecánicas de juego.</w:t>
            </w:r>
          </w:p>
        </w:tc>
      </w:tr>
    </w:tbl>
    <w:p>
      <w:pPr>
        <w:pStyle w:val="Heading2"/>
        <w:pageBreakBefore/>
        <w:spacing w:after="100" w:before="240"/>
      </w:pPr>
      <w:r>
        <w:rPr>
          <w:b/>
          <w:bCs/>
          <w:color w:val="1428A0"/>
          <w:sz w:val="28"/>
          <w:szCs w:val="28"/>
        </w:rPr>
        <w:t xml:space="preserve">5. Guion de pitch en cinco momentos (150 a 250 palabras)</w:t>
      </w:r>
    </w:p>
    <w:p>
      <w:pPr>
        <w:spacing w:after="80"/>
      </w:pPr>
      <w:r>
        <w:rPr>
          <w:i/>
          <w:iCs/>
          <w:color w:val="5A6275"/>
          <w:sz w:val="19"/>
          <w:szCs w:val="19"/>
        </w:rPr>
        <w:t xml:space="preserve">Si una frase solo la entiende alguien que tomó este curso, va a la demo, no al pitch.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400"/>
      </w:tblGrid>
      <w:tr>
        <w:trPr>
          <w:cantSplit/>
        </w:trPr>
        <w:tc>
          <w:tcPr>
            <w:tcW w:type="dxa" w:w="26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shd w:fill="EE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28A0"/>
                <w:sz w:val="20"/>
                <w:szCs w:val="20"/>
              </w:rPr>
              <w:t xml:space="preserve">1. Gancho (15 s)</w:t>
            </w:r>
          </w:p>
        </w:tc>
        <w:tc>
          <w:tcPr>
            <w:tcW w:type="dxa" w:w="114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¿Imaginas pasar meses creando tu juego indie y que, días después de publicar tus avances, aparezcan réplicas casi idénticas en plataformas como Roblox antes de tu estreno oficial? Esto le ocurrió a Pandorio Games con 'Escape the Walls'.</w:t>
            </w:r>
          </w:p>
        </w:tc>
      </w:tr>
      <w:tr>
        <w:trPr>
          <w:cantSplit/>
          <w:trHeight w:val="1250" w:hRule="atLeast"/>
        </w:trPr>
        <w:tc>
          <w:tcPr>
            <w:tcW w:type="dxa" w:w="26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shd w:fill="EE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28A0"/>
                <w:sz w:val="20"/>
                <w:szCs w:val="20"/>
              </w:rPr>
              <w:t xml:space="preserve">2. Problema (20 s)</w:t>
            </w:r>
          </w:p>
        </w:tc>
        <w:tc>
          <w:tcPr>
            <w:tcW w:type="dxa" w:w="114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Hoy la IA acelera y abarata la replicación de juegos. Pero no todo parecido es plagio: compartir género o mecánicas es normal. El dilema real es que hoy no existe un método objetivo ni reproducible para determinar cuándo las coincidencias justifican una revisión especializada.</w:t>
            </w:r>
          </w:p>
        </w:tc>
      </w:tr>
      <w:tr>
        <w:trPr>
          <w:cantSplit/>
          <w:trHeight w:val="1250" w:hRule="atLeast"/>
        </w:trPr>
        <w:tc>
          <w:tcPr>
            <w:tcW w:type="dxa" w:w="26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shd w:fill="EE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28A0"/>
                <w:sz w:val="20"/>
                <w:szCs w:val="20"/>
              </w:rPr>
              <w:t xml:space="preserve">3. Solución (25 s)</w:t>
            </w:r>
          </w:p>
        </w:tc>
        <w:tc>
          <w:tcPr>
            <w:tcW w:type="dxa" w:w="114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Proponemos 'SIC Clone Radar', un sistema experimental asistido por IA que identifica y documenta similitudes técnicas entre videojuegos combinando procesamiento de texto, visión artificial y clustering.</w:t>
            </w:r>
          </w:p>
        </w:tc>
      </w:tr>
      <w:tr>
        <w:trPr>
          <w:cantSplit/>
          <w:trHeight w:val="1250" w:hRule="atLeast"/>
        </w:trPr>
        <w:tc>
          <w:tcPr>
            <w:tcW w:type="dxa" w:w="26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shd w:fill="EE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28A0"/>
                <w:sz w:val="20"/>
                <w:szCs w:val="20"/>
              </w:rPr>
              <w:t xml:space="preserve">4. Evidencia (30 s)</w:t>
            </w:r>
          </w:p>
        </w:tc>
        <w:tc>
          <w:tcPr>
            <w:tcW w:type="dxa" w:w="114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En nuestros experimentos con DBSCAN demostramos que el texto solo confunde juegos del mismo género (precisión 47.9%), pero al incorporar embeddings de imagen alcanzamos un 100% de precisión y 0.912 de F1, aislando clones reales sin falsos positivos.</w:t>
            </w:r>
          </w:p>
        </w:tc>
      </w:tr>
      <w:tr>
        <w:trPr>
          <w:cantSplit/>
          <w:trHeight w:val="1250" w:hRule="atLeast"/>
        </w:trPr>
        <w:tc>
          <w:tcPr>
            <w:tcW w:type="dxa" w:w="26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shd w:fill="EE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28A0"/>
                <w:sz w:val="20"/>
                <w:szCs w:val="20"/>
              </w:rPr>
              <w:t xml:space="preserve">5. Cierre (20 s)</w:t>
            </w:r>
          </w:p>
        </w:tc>
        <w:tc>
          <w:tcPr>
            <w:tcW w:type="dxa" w:w="114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No emitimos juicios legales; aportamos evidencia técnica preliminar y transparente para orientar a creadores y expertos. Si la IA facilita copiar, también debe ayudarnos a documentar y proteger la innovación.</w:t>
            </w:r>
          </w:p>
        </w:tc>
      </w:tr>
    </w:tbl>
    <w:p>
      <w:pPr>
        <w:spacing w:after="80"/>
      </w:pPr>
      <w:r>
        <w:t>Número de palabras: ~195 palabras     Tiempo leído en voz alta: ~85 segundos     Presenta: [Por definir por el equipo]</w:t>
      </w:r>
    </w:p>
    <w:p>
      <w:pPr>
        <w:pStyle w:val="Heading2"/>
        <w:pageBreakBefore/>
        <w:spacing w:after="100" w:before="240"/>
      </w:pPr>
      <w:r>
        <w:rPr>
          <w:b/>
          <w:bCs/>
          <w:color w:val="1428A0"/>
          <w:sz w:val="28"/>
          <w:szCs w:val="28"/>
        </w:rPr>
        <w:t xml:space="preserve">6. Retroalimentación de la práctica en tríos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7000"/>
      </w:tblGrid>
      <w:tr>
        <w:trPr>
          <w:cantSplit/>
        </w:trPr>
        <w:tc>
          <w:tcPr>
            <w:tcW w:type="dxa" w:w="70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shd w:fill="1428A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 que más me quedó fue...</w:t>
            </w:r>
          </w:p>
        </w:tc>
        <w:tc>
          <w:tcPr>
            <w:tcW w:type="dxa" w:w="70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shd w:fill="1428A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 que me faltó saber fue...</w:t>
            </w:r>
          </w:p>
        </w:tc>
      </w:tr>
      <w:tr>
        <w:trPr>
          <w:cantSplit/>
          <w:trHeight w:val="1200" w:hRule="atLeast"/>
        </w:trPr>
        <w:tc>
          <w:tcPr>
            <w:tcW w:type="dxa" w:w="70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La contundencia de las métricas cuantitativas (F1 = 0.912 vs 0.636) para demostrar con datos por qué la visión artificial resuelve la ambigüedad de los géneros compartidos.</w:t>
            </w:r>
          </w:p>
        </w:tc>
        <w:tc>
          <w:tcPr>
            <w:tcW w:type="dxa" w:w="70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Cómo escalar de embeddings simulados a una CNN real (ResNet/MobileNet) conectada a un pipeline de scraping automatizado de capturas de pantalla.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428A0"/>
          <w:sz w:val="28"/>
          <w:szCs w:val="28"/>
        </w:rPr>
        <w:t xml:space="preserve">7. Learning Card (después de presentar)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0200"/>
      </w:tblGrid>
      <w:tr>
        <w:trPr>
          <w:cantSplit/>
        </w:trPr>
        <w:tc>
          <w:tcPr>
            <w:tcW w:type="dxa" w:w="38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shd w:fill="EE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28A0"/>
                <w:sz w:val="20"/>
                <w:szCs w:val="20"/>
              </w:rPr>
              <w:t xml:space="preserve">Creíamos que</w:t>
            </w:r>
          </w:p>
        </w:tc>
        <w:tc>
          <w:tcPr>
            <w:tcW w:type="dxa" w:w="102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Que TF-IDF y similitud léxica bastaban para clasificar y detectar cualquier nivel de proximidad en videojuegos.</w:t>
            </w:r>
          </w:p>
        </w:tc>
      </w:tr>
      <w:tr>
        <w:trPr>
          <w:cantSplit/>
          <w:trHeight w:val="700" w:hRule="atLeast"/>
        </w:trPr>
        <w:tc>
          <w:tcPr>
            <w:tcW w:type="dxa" w:w="38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shd w:fill="EE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28A0"/>
                <w:sz w:val="20"/>
                <w:szCs w:val="20"/>
              </w:rPr>
              <w:t xml:space="preserve">Observamos que</w:t>
            </w:r>
          </w:p>
        </w:tc>
        <w:tc>
          <w:tcPr>
            <w:tcW w:type="dxa" w:w="102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Que el texto solo arroja muchos falsos positivos en juegos del mismo género (precisión 47.9%), pero la combinación multimodal texto+imagen alcanza 100% de precisión.</w:t>
            </w:r>
          </w:p>
        </w:tc>
      </w:tr>
      <w:tr>
        <w:trPr>
          <w:cantSplit/>
          <w:trHeight w:val="700" w:hRule="atLeast"/>
        </w:trPr>
        <w:tc>
          <w:tcPr>
            <w:tcW w:type="dxa" w:w="38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shd w:fill="EE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28A0"/>
                <w:sz w:val="20"/>
                <w:szCs w:val="20"/>
              </w:rPr>
              <w:t xml:space="preserve">De esto aprendimos que</w:t>
            </w:r>
          </w:p>
        </w:tc>
        <w:tc>
          <w:tcPr>
            <w:tcW w:type="dxa" w:w="102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Que la multimodalidad (visión + NLP) con clustering no supervisado DBSCAN es el enfoque técnico idóneo para detectar patrones de réplicas en videojuegos.</w:t>
            </w:r>
          </w:p>
        </w:tc>
      </w:tr>
      <w:tr>
        <w:trPr>
          <w:cantSplit/>
          <w:trHeight w:val="700" w:hRule="atLeast"/>
        </w:trPr>
        <w:tc>
          <w:tcPr>
            <w:tcW w:type="dxa" w:w="38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shd w:fill="EE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28A0"/>
                <w:sz w:val="20"/>
                <w:szCs w:val="20"/>
              </w:rPr>
              <w:t xml:space="preserve">Por lo tanto, vamos a</w:t>
            </w:r>
          </w:p>
        </w:tc>
        <w:tc>
          <w:tcPr>
            <w:tcW w:type="dxa" w:w="102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[X] Perseverar     [ ] Pivotar     [ ] Archivar</w:t>
              <w:br/>
              <w:t>Porque: Los resultados experimentales validan plenamente la hipótesis central del Capstone y proporcionan una base sólida para el informe final.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428A0"/>
          <w:sz w:val="28"/>
          <w:szCs w:val="28"/>
        </w:rPr>
        <w:t xml:space="preserve">8. Prompts de IA generativa que usamos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800"/>
        <w:gridCol w:w="3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shd w:fill="1428A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58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shd w:fill="1428A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34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shd w:fill="1428A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¿Para qué sirvió?</w:t>
            </w:r>
          </w:p>
        </w:tc>
        <w:tc>
          <w:tcPr>
            <w:tcW w:type="dxa" w:w="24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shd w:fill="1428A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¿Lo modificamos?</w:t>
            </w:r>
          </w:p>
        </w:tc>
      </w:tr>
      <w:tr>
        <w:trPr>
          <w:cantSplit/>
          <w:trHeight w:val="800" w:hRule="atLeast"/>
        </w:trPr>
        <w:tc>
          <w:tcPr>
            <w:tcW w:type="dxa" w:w="24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Google Colab / Gemini</w:t>
            </w:r>
          </w:p>
        </w:tc>
        <w:tc>
          <w:tcPr>
            <w:tcW w:type="dxa" w:w="58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Genera un pipeline experimental con DBSCAN y barrido de eps para evaluar precisión/recall por pares en detección de clones de videojuegos.</w:t>
            </w:r>
          </w:p>
        </w:tc>
        <w:tc>
          <w:tcPr>
            <w:tcW w:type="dxa" w:w="34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Construir el notebook FairPlay_AI_DBSCAN_Clones.ipynb con cálculo de F1 y ARI para comparar línea base vs modelo multimodal.</w:t>
            </w:r>
          </w:p>
        </w:tc>
        <w:tc>
          <w:tcPr>
            <w:tcW w:type="dxa" w:w="24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Sí, adaptamos los casos sintéticos para reflejar casos reales como Escape the Walls y juegos señuelo.</w:t>
            </w:r>
          </w:p>
        </w:tc>
      </w:tr>
      <w:tr>
        <w:trPr>
          <w:cantSplit/>
          <w:trHeight w:val="800" w:hRule="atLeast"/>
        </w:trPr>
        <w:tc>
          <w:tcPr>
            <w:tcW w:type="dxa" w:w="24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ChatGPT / Claude</w:t>
            </w:r>
          </w:p>
        </w:tc>
        <w:tc>
          <w:tcPr>
            <w:tcW w:type="dxa" w:w="58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Estructura la función matemática de descomposición de aportes de términos en similitud coseno para obtener un DataFrame explicable.</w:t>
            </w:r>
          </w:p>
        </w:tc>
        <w:tc>
          <w:tcPr>
            <w:tcW w:type="dxa" w:w="34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Diseñar e implementar comparar() y terminos_compartidos() en similitud.py multiplicando vectores elemento a elemento.</w:t>
            </w:r>
          </w:p>
        </w:tc>
        <w:tc>
          <w:tcPr>
            <w:tcW w:type="dxa" w:w="24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Sí, adaptamos el ordenamiento por aporte descendente y formateo de decimales.</w:t>
            </w:r>
          </w:p>
        </w:tc>
      </w:tr>
      <w:tr>
        <w:trPr>
          <w:cantSplit/>
          <w:trHeight w:val="800" w:hRule="atLeast"/>
        </w:trPr>
        <w:tc>
          <w:tcPr>
            <w:tcW w:type="dxa" w:w="24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Antigravity IDE</w:t>
            </w:r>
          </w:p>
        </w:tc>
        <w:tc>
          <w:tcPr>
            <w:tcW w:type="dxa" w:w="58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Analiza el informe mirror, el prototipo y el notebook DBSCAN para articular la hoja de trabajo Capstone y pitch con métricas exactas.</w:t>
            </w:r>
          </w:p>
        </w:tc>
        <w:tc>
          <w:tcPr>
            <w:tcW w:type="dxa" w:w="34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Articular la coherencia entre problemática de la industria, solución técnica y guion de presentación de Clase 9.</w:t>
            </w:r>
          </w:p>
        </w:tc>
        <w:tc>
          <w:tcPr>
            <w:tcW w:type="dxa" w:w="2400"/>
            <w:tcBorders>
              <w:top w:val="single" w:color="BFC6DA" w:sz="4"/>
              <w:left w:val="single" w:color="BFC6DA" w:sz="4"/>
              <w:bottom w:val="single" w:color="BFC6DA" w:sz="4"/>
              <w:right w:val="single" w:color="BFC6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Sí, se incorporaron los resultados cuantitativos de F1, precisión y los 3 casos de prueba.</w:t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10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A6275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6275"/>
        <w:sz w:val="16"/>
        <w:szCs w:val="16"/>
      </w:rPr>
      <w:t xml:space="preserve">Samsung Innovation Campus Chile 2026 · Inteligencia Artificial · ONG Innovacien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2026-10-29T12:23:14.902Z</dcterms:created>
  <dcterms:modified xsi:type="dcterms:W3CDTF">2026-10-29T12:23:14.902Z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