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Основы гражданского права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Гражданское право регулирует отношения собственности.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Гражданское право</w:t>
      </w:r>
      <w:r w:rsidDel="00000000" w:rsidR="00000000" w:rsidRPr="00000000">
        <w:rPr>
          <w:sz w:val="28"/>
          <w:szCs w:val="28"/>
          <w:rtl w:val="0"/>
        </w:rPr>
        <w:t xml:space="preserve"> - это совокупность правовых норм, регулирующих имущественные и неимущественные отношения, основанные на равенстве, автономии и имущественной самостоятельности участников.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Предмет гражданского права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Имущественные отношения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а) возмездные (аренда, купля-продажа, займ, кредит)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б) безвозмездные (дарение, наследование) (односторонняя сделка, так как не требует согласия второй стороны)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Неимущественные отношения: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а) личные права и свободы человека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б) неимущественные, связанные с имущ-ми (патентное и авторское право)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нематериальное, что может приносить деньги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 гражданского права</w:t>
      </w:r>
      <w:r w:rsidDel="00000000" w:rsidR="00000000" w:rsidRPr="00000000">
        <w:rPr>
          <w:sz w:val="28"/>
          <w:szCs w:val="28"/>
          <w:rtl w:val="0"/>
        </w:rPr>
        <w:t xml:space="preserve"> - диспозитивный (свобода выбора вступать/не вступать в гражданские права)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черты гражданского права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равенство сторон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 осуществляется путем обращения в суд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санкции носят имущественный характер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обособлены по отношению друг к другу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гражданских правоотношений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Гражданские правоотношения</w:t>
      </w:r>
      <w:r w:rsidDel="00000000" w:rsidR="00000000" w:rsidRPr="00000000">
        <w:rPr>
          <w:sz w:val="28"/>
          <w:szCs w:val="28"/>
          <w:rtl w:val="0"/>
        </w:rPr>
        <w:t xml:space="preserve"> - это урегулированные нормами гражданского права устойчивая юридическая связь равных, автономных и обособленных субъектов, заключающаяся в наличии у них прав и обязанностей.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Объект </w:t>
      </w:r>
      <w:r w:rsidDel="00000000" w:rsidR="00000000" w:rsidRPr="00000000">
        <w:rPr>
          <w:sz w:val="28"/>
          <w:szCs w:val="28"/>
          <w:rtl w:val="0"/>
        </w:rPr>
        <w:t xml:space="preserve">- правоотношения</w:t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Статья 128 ГК РФ - контролирует имущественные права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Статья 150 ГК РФ -  контролирует неимущественные права и обязанности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Субъекты </w:t>
      </w:r>
      <w:r w:rsidDel="00000000" w:rsidR="00000000" w:rsidRPr="00000000">
        <w:rPr>
          <w:sz w:val="28"/>
          <w:szCs w:val="28"/>
          <w:rtl w:val="0"/>
        </w:rPr>
        <w:t xml:space="preserve">(физические и юридические лицы)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Физические лица могут выступать  в качестве: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-российских граждан</w:t>
        <w:br w:type="textWrapping"/>
        <w:t xml:space="preserve">-иностранных граждан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-лиц без определенного гражданства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Права </w:t>
      </w:r>
      <w:r w:rsidDel="00000000" w:rsidR="00000000" w:rsidRPr="00000000">
        <w:rPr>
          <w:sz w:val="28"/>
          <w:szCs w:val="28"/>
          <w:rtl w:val="0"/>
        </w:rPr>
        <w:t xml:space="preserve">- мера возможного поведения субъекта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Обязанности </w:t>
      </w:r>
      <w:r w:rsidDel="00000000" w:rsidR="00000000" w:rsidRPr="00000000">
        <w:rPr>
          <w:sz w:val="28"/>
          <w:szCs w:val="28"/>
          <w:rtl w:val="0"/>
        </w:rPr>
        <w:t xml:space="preserve">- мера должного поведения субъекта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