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32D43" w14:textId="20E1C9A7" w:rsidR="00B73635" w:rsidRDefault="00B73635" w:rsidP="00B73635">
      <w:r>
        <w:t>Guiding principles: Information Structure &amp; Common Ground (</w:t>
      </w:r>
      <w:proofErr w:type="spellStart"/>
      <w:r>
        <w:t>Krifka</w:t>
      </w:r>
      <w:proofErr w:type="spellEnd"/>
      <w:r>
        <w:t xml:space="preserve">, 2008) in </w:t>
      </w:r>
      <w:r w:rsidR="00575B3A">
        <w:t>Information Structure</w:t>
      </w:r>
      <w:r>
        <w:t xml:space="preserve"> </w:t>
      </w:r>
    </w:p>
    <w:p w14:paraId="10ABBE0E" w14:textId="5BDD562F" w:rsidR="00DD39C9" w:rsidRPr="00DD39C9" w:rsidRDefault="004C6404" w:rsidP="00DD39C9">
      <w:pPr>
        <w:ind w:firstLine="720"/>
      </w:pPr>
      <w:r>
        <w:t xml:space="preserve">Information Structure (IS) </w:t>
      </w:r>
      <w:r w:rsidR="00B73635">
        <w:t xml:space="preserve">holds that the basic goal of natural conversation is information sharing with the goal of arriving at a </w:t>
      </w:r>
      <w:r w:rsidR="00B73635" w:rsidRPr="004C6404">
        <w:rPr>
          <w:i/>
          <w:iCs/>
        </w:rPr>
        <w:t>Common Ground</w:t>
      </w:r>
      <w:r w:rsidR="00B73635">
        <w:t xml:space="preserve"> (CG) with one’s </w:t>
      </w:r>
      <w:r>
        <w:t>conversational partners (</w:t>
      </w:r>
      <w:r>
        <w:rPr>
          <w:i/>
          <w:iCs/>
        </w:rPr>
        <w:t>interlocutors</w:t>
      </w:r>
      <w:r>
        <w:t>)</w:t>
      </w:r>
      <w:r w:rsidR="003E70AD">
        <w:t xml:space="preserve">. </w:t>
      </w:r>
      <w:r>
        <w:t xml:space="preserve">Typically, CG is defined as </w:t>
      </w:r>
      <w:r w:rsidR="003E70AD">
        <w:t xml:space="preserve">1) </w:t>
      </w:r>
      <w:r>
        <w:t xml:space="preserve">the set of facts that is mutually understood or agreed upon </w:t>
      </w:r>
      <w:r w:rsidR="003E70AD">
        <w:t>by interlocutors and 2) the set of entities that have been introduced in the conversation or are universally understood to exist by interlocutors (</w:t>
      </w:r>
      <w:proofErr w:type="spellStart"/>
      <w:r w:rsidR="003E70AD">
        <w:t>Krifka</w:t>
      </w:r>
      <w:proofErr w:type="spellEnd"/>
      <w:r w:rsidR="003E70AD">
        <w:t xml:space="preserve">, 2008). </w:t>
      </w:r>
      <w:r w:rsidR="00014579">
        <w:t xml:space="preserve">In other words, we tend to speak in ways that are conducive to a shared understanding of the world and tend to assume that our conversational partners are doing the same. </w:t>
      </w:r>
      <w:r w:rsidR="003E70AD">
        <w:t xml:space="preserve">Much work that has been done on CG is concerned with understanding the mechanisms by which interlocutors update, </w:t>
      </w:r>
      <w:r w:rsidR="00DD39C9">
        <w:t>correct</w:t>
      </w:r>
      <w:r w:rsidR="003E70AD">
        <w:t xml:space="preserve">, and otherwise negotiate the CG, this process being referred to as </w:t>
      </w:r>
      <w:r w:rsidR="003E70AD">
        <w:rPr>
          <w:i/>
          <w:iCs/>
        </w:rPr>
        <w:t>CG Management</w:t>
      </w:r>
      <w:r w:rsidR="003E70AD">
        <w:t xml:space="preserve"> (</w:t>
      </w:r>
      <w:proofErr w:type="spellStart"/>
      <w:r w:rsidR="003E70AD">
        <w:t>Krifka</w:t>
      </w:r>
      <w:proofErr w:type="spellEnd"/>
      <w:r w:rsidR="003E70AD">
        <w:t xml:space="preserve">, 2008). </w:t>
      </w:r>
      <w:r w:rsidR="00DD39C9">
        <w:t xml:space="preserve">The most basic mechanism by which the CG is updated is the introduction of </w:t>
      </w:r>
      <w:r w:rsidR="00DD39C9">
        <w:rPr>
          <w:i/>
          <w:iCs/>
        </w:rPr>
        <w:t>propositions</w:t>
      </w:r>
      <w:r w:rsidR="00DD39C9">
        <w:t>, wherein an interlocutor makes a claim about the world or introduces a</w:t>
      </w:r>
      <w:r w:rsidR="009C3764">
        <w:t xml:space="preserve">n </w:t>
      </w:r>
      <w:r w:rsidR="00DD39C9">
        <w:t>entity t</w:t>
      </w:r>
      <w:r w:rsidR="009C3764">
        <w:t>hat is new t</w:t>
      </w:r>
      <w:r w:rsidR="00DD39C9">
        <w:t xml:space="preserve">o the CG. </w:t>
      </w:r>
      <w:r w:rsidR="009C3764">
        <w:t xml:space="preserve">These propositions are introduced by various grammatical constructions, </w:t>
      </w:r>
      <w:r w:rsidR="004345A5">
        <w:t xml:space="preserve">which have been studied extensively by philosophers of language. </w:t>
      </w:r>
    </w:p>
    <w:p w14:paraId="5B39AAF6" w14:textId="20BD2B74" w:rsidR="00E178B6" w:rsidRDefault="003E70AD" w:rsidP="00014579">
      <w:pPr>
        <w:ind w:firstLine="720"/>
      </w:pPr>
      <w:r>
        <w:t>While much of this work has been primarily concerned with ‘live’ conversation, notions of CG have also been successfully applied to the question of narrative and narrative structure.</w:t>
      </w:r>
      <w:r w:rsidR="00DD39C9">
        <w:t xml:space="preserve"> </w:t>
      </w:r>
      <w:r w:rsidR="00E40D0D">
        <w:t>T</w:t>
      </w:r>
      <w:r w:rsidR="00DD39C9">
        <w:t>hough a reader or listener is not themselves interacting with the narrative in a way that they may update the narrator’s CG, they themselves are engaged in updating their own CG’s as directed by the narrative</w:t>
      </w:r>
      <w:r w:rsidR="00014579">
        <w:t xml:space="preserve"> (cf. </w:t>
      </w:r>
      <w:r w:rsidR="00014579" w:rsidRPr="00A41B1A">
        <w:t>Ven</w:t>
      </w:r>
      <w:r w:rsidR="00014579">
        <w:t xml:space="preserve"> De </w:t>
      </w:r>
      <w:proofErr w:type="spellStart"/>
      <w:r w:rsidR="00014579">
        <w:t>Mieroop</w:t>
      </w:r>
      <w:proofErr w:type="spellEnd"/>
      <w:r w:rsidR="00014579">
        <w:t xml:space="preserve"> et al., 2022).</w:t>
      </w:r>
      <w:r w:rsidR="00E40D0D">
        <w:t xml:space="preserve"> As such, engaging in a narrative is an active and intentional process undertaken by a reader or listener, just as conversation is among interlocutors. </w:t>
      </w:r>
      <w:r w:rsidR="00ED478E">
        <w:t xml:space="preserve">Under this assumption, the present research has taken up approaches to CG as a reliable guiding principle for affective segmentation, as </w:t>
      </w:r>
      <w:r w:rsidR="00014579">
        <w:t xml:space="preserve">we </w:t>
      </w:r>
      <w:r w:rsidR="00ED478E">
        <w:t>should</w:t>
      </w:r>
      <w:r w:rsidR="00014579">
        <w:t xml:space="preserve"> expect each update to the CG to elicit a marked response from participants</w:t>
      </w:r>
      <w:r w:rsidR="000D7156">
        <w:t xml:space="preserve">, giving them an opportunity to both update their </w:t>
      </w:r>
      <w:r w:rsidR="00105FFE">
        <w:t>understanding</w:t>
      </w:r>
      <w:r w:rsidR="000D7156">
        <w:t xml:space="preserve"> of the CG and </w:t>
      </w:r>
      <w:r w:rsidR="00105FFE">
        <w:t>react to the segment, and providing an appropriate moment for them to also rate the positive or negative valence of a given segment</w:t>
      </w:r>
      <w:r w:rsidR="00ED478E">
        <w:t xml:space="preserve">. </w:t>
      </w:r>
      <w:r w:rsidR="004352FF">
        <w:t xml:space="preserve">Additionally, using grammatical realities to represent updates to the CG </w:t>
      </w:r>
      <w:r w:rsidR="00575B3A">
        <w:t>(</w:t>
      </w:r>
      <w:r w:rsidR="00105FFE">
        <w:t xml:space="preserve">e.g. </w:t>
      </w:r>
      <w:r w:rsidR="00575B3A">
        <w:t>the introduction</w:t>
      </w:r>
      <w:r w:rsidR="004345A5">
        <w:t xml:space="preserve"> of new information via</w:t>
      </w:r>
      <w:r w:rsidR="00575B3A">
        <w:t xml:space="preserve"> certain clause types, clausal conjunctions, changes in aspect/tense, etc.) </w:t>
      </w:r>
      <w:r w:rsidR="004352FF">
        <w:t>allows for an empirically founded, non-subjective guiding principal</w:t>
      </w:r>
      <w:r w:rsidR="00105FFE">
        <w:t xml:space="preserve"> for segmentation</w:t>
      </w:r>
      <w:r w:rsidR="004352FF">
        <w:t xml:space="preserve"> that is easily replicated. </w:t>
      </w:r>
    </w:p>
    <w:p w14:paraId="32C293F9" w14:textId="1387466C" w:rsidR="00CB39D6" w:rsidRDefault="00CB39D6" w:rsidP="00014579">
      <w:pPr>
        <w:ind w:firstLine="720"/>
      </w:pPr>
      <w:r>
        <w:t xml:space="preserve">All narratives were therefore segmented based on a discreet set of ‘triggers,’ the presence of each trigger resulting in the creation of a new segment. Segments were constrained first so that no segment was longer than a single sentence (following </w:t>
      </w:r>
      <w:r w:rsidRPr="00A179F6">
        <w:t>Pham &amp; Sanchez, 2019</w:t>
      </w:r>
      <w:r>
        <w:t xml:space="preserve">, who find that shorter segments are more </w:t>
      </w:r>
      <w:r w:rsidRPr="00A179F6">
        <w:t>effective for tracking emotional response to texts</w:t>
      </w:r>
      <w:r>
        <w:t xml:space="preserve">). Following this initial segmentation, a set of grammatical triggers </w:t>
      </w:r>
      <w:r w:rsidR="00B546B5">
        <w:t xml:space="preserve">were employed to further segment sentences </w:t>
      </w:r>
      <w:r w:rsidR="00F8680D">
        <w:t>that</w:t>
      </w:r>
      <w:r w:rsidR="00B546B5">
        <w:t xml:space="preserve"> contained multiple CG updates, thus providing multiple opportunities for participant rating. These grammatical triggers included various vehicles for the introduction new information via of dependent and independent clauses, as well as for positioning elements that transform the temporal or locative boundaries of a narrative (cf. Feller et al. 2019).</w:t>
      </w:r>
    </w:p>
    <w:p w14:paraId="76788198" w14:textId="77777777" w:rsidR="00E40D0D" w:rsidRDefault="00E40D0D" w:rsidP="00E40D0D"/>
    <w:p w14:paraId="0138B84B" w14:textId="77777777" w:rsidR="00E40D0D" w:rsidRDefault="00E40D0D" w:rsidP="00E40D0D"/>
    <w:p w14:paraId="0DF4D358" w14:textId="3160BADB" w:rsidR="00E40D0D" w:rsidRDefault="00E40D0D" w:rsidP="00E40D0D">
      <w:r>
        <w:t>References:</w:t>
      </w:r>
    </w:p>
    <w:p w14:paraId="34D8447C" w14:textId="77777777" w:rsidR="00B546B5" w:rsidRPr="00FF6325" w:rsidRDefault="00B546B5" w:rsidP="00B546B5">
      <w:r>
        <w:lastRenderedPageBreak/>
        <w:t xml:space="preserve">Feller, D. P., Earland, A., Ferretti, T. R., &amp; Magliano, J. P. 2019. Aspect and narrative event segmentation. </w:t>
      </w:r>
      <w:r>
        <w:rPr>
          <w:i/>
          <w:iCs/>
        </w:rPr>
        <w:t>Collabra: Psychology</w:t>
      </w:r>
      <w:r>
        <w:t>, 5(1), pp. 1-15.</w:t>
      </w:r>
    </w:p>
    <w:p w14:paraId="421D6C83" w14:textId="77777777" w:rsidR="00E40D0D" w:rsidRDefault="00E40D0D" w:rsidP="00E40D0D">
      <w:proofErr w:type="spellStart"/>
      <w:r>
        <w:t>Krifka</w:t>
      </w:r>
      <w:proofErr w:type="spellEnd"/>
      <w:r>
        <w:t xml:space="preserve">, M. 2008. Basic notions of information structure. </w:t>
      </w:r>
      <w:r>
        <w:rPr>
          <w:i/>
          <w:iCs/>
        </w:rPr>
        <w:t xml:space="preserve">Acta </w:t>
      </w:r>
      <w:proofErr w:type="spellStart"/>
      <w:r>
        <w:rPr>
          <w:i/>
          <w:iCs/>
        </w:rPr>
        <w:t>Linguistica</w:t>
      </w:r>
      <w:proofErr w:type="spellEnd"/>
      <w:r>
        <w:rPr>
          <w:i/>
          <w:iCs/>
        </w:rPr>
        <w:t xml:space="preserve"> </w:t>
      </w:r>
      <w:proofErr w:type="spellStart"/>
      <w:r>
        <w:rPr>
          <w:i/>
          <w:iCs/>
        </w:rPr>
        <w:t>Hungarica</w:t>
      </w:r>
      <w:proofErr w:type="spellEnd"/>
      <w:r>
        <w:t>, 55(3-4), pp. 243-276.</w:t>
      </w:r>
    </w:p>
    <w:p w14:paraId="7A79980B" w14:textId="77777777" w:rsidR="00CB39D6" w:rsidRPr="00F92120" w:rsidRDefault="00CB39D6" w:rsidP="00CB39D6">
      <w:r>
        <w:t xml:space="preserve">Pham, H., &amp; Sanchez, C. A. 2019. Text Segmentation length can impact emotional reactions to narrative storytelling. </w:t>
      </w:r>
      <w:r>
        <w:rPr>
          <w:i/>
          <w:iCs/>
        </w:rPr>
        <w:t>Discourse Processes</w:t>
      </w:r>
      <w:r>
        <w:t>, 56(3), pp. 210-228.</w:t>
      </w:r>
    </w:p>
    <w:p w14:paraId="7C471C8C" w14:textId="77777777" w:rsidR="00E40D0D" w:rsidRPr="00EE22E3" w:rsidRDefault="00E40D0D" w:rsidP="00E40D0D">
      <w:r>
        <w:t xml:space="preserve">Van De </w:t>
      </w:r>
      <w:proofErr w:type="spellStart"/>
      <w:r>
        <w:t>Mieroop</w:t>
      </w:r>
      <w:proofErr w:type="spellEnd"/>
      <w:r>
        <w:t xml:space="preserve">, D., Clifton, J., &amp; Schnurr, S. 2022. Narratives as social practice in organizational contexts. </w:t>
      </w:r>
      <w:r>
        <w:rPr>
          <w:i/>
          <w:iCs/>
        </w:rPr>
        <w:t>Narrative Inquiry</w:t>
      </w:r>
      <w:r>
        <w:t>, 32(1), pp. 1-8</w:t>
      </w:r>
    </w:p>
    <w:p w14:paraId="3592ECA7" w14:textId="77777777" w:rsidR="00E40D0D" w:rsidRDefault="00E40D0D" w:rsidP="00E40D0D"/>
    <w:sectPr w:rsidR="00E40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EA"/>
    <w:rsid w:val="00014579"/>
    <w:rsid w:val="000D7156"/>
    <w:rsid w:val="00105FFE"/>
    <w:rsid w:val="002A4702"/>
    <w:rsid w:val="002E4F71"/>
    <w:rsid w:val="003E70AD"/>
    <w:rsid w:val="004345A5"/>
    <w:rsid w:val="004352FF"/>
    <w:rsid w:val="004C6404"/>
    <w:rsid w:val="00575B3A"/>
    <w:rsid w:val="009C3764"/>
    <w:rsid w:val="009F616C"/>
    <w:rsid w:val="00B428EA"/>
    <w:rsid w:val="00B546B5"/>
    <w:rsid w:val="00B73635"/>
    <w:rsid w:val="00BC586E"/>
    <w:rsid w:val="00C603DD"/>
    <w:rsid w:val="00CB39D6"/>
    <w:rsid w:val="00DD39C9"/>
    <w:rsid w:val="00E178B6"/>
    <w:rsid w:val="00E3095C"/>
    <w:rsid w:val="00E40D0D"/>
    <w:rsid w:val="00ED478E"/>
    <w:rsid w:val="00F159AE"/>
    <w:rsid w:val="00F86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C818"/>
  <w15:chartTrackingRefBased/>
  <w15:docId w15:val="{26A8A5BB-233D-453A-A87B-6407DBD5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35"/>
  </w:style>
  <w:style w:type="paragraph" w:styleId="Heading1">
    <w:name w:val="heading 1"/>
    <w:basedOn w:val="Normal"/>
    <w:next w:val="Normal"/>
    <w:link w:val="Heading1Char"/>
    <w:uiPriority w:val="9"/>
    <w:qFormat/>
    <w:rsid w:val="00B42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8EA"/>
    <w:rPr>
      <w:rFonts w:eastAsiaTheme="majorEastAsia" w:cstheme="majorBidi"/>
      <w:color w:val="272727" w:themeColor="text1" w:themeTint="D8"/>
    </w:rPr>
  </w:style>
  <w:style w:type="paragraph" w:styleId="Title">
    <w:name w:val="Title"/>
    <w:basedOn w:val="Normal"/>
    <w:next w:val="Normal"/>
    <w:link w:val="TitleChar"/>
    <w:uiPriority w:val="10"/>
    <w:qFormat/>
    <w:rsid w:val="00B42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8EA"/>
    <w:pPr>
      <w:spacing w:before="160"/>
      <w:jc w:val="center"/>
    </w:pPr>
    <w:rPr>
      <w:i/>
      <w:iCs/>
      <w:color w:val="404040" w:themeColor="text1" w:themeTint="BF"/>
    </w:rPr>
  </w:style>
  <w:style w:type="character" w:customStyle="1" w:styleId="QuoteChar">
    <w:name w:val="Quote Char"/>
    <w:basedOn w:val="DefaultParagraphFont"/>
    <w:link w:val="Quote"/>
    <w:uiPriority w:val="29"/>
    <w:rsid w:val="00B428EA"/>
    <w:rPr>
      <w:i/>
      <w:iCs/>
      <w:color w:val="404040" w:themeColor="text1" w:themeTint="BF"/>
    </w:rPr>
  </w:style>
  <w:style w:type="paragraph" w:styleId="ListParagraph">
    <w:name w:val="List Paragraph"/>
    <w:basedOn w:val="Normal"/>
    <w:uiPriority w:val="34"/>
    <w:qFormat/>
    <w:rsid w:val="00B428EA"/>
    <w:pPr>
      <w:ind w:left="720"/>
      <w:contextualSpacing/>
    </w:pPr>
  </w:style>
  <w:style w:type="character" w:styleId="IntenseEmphasis">
    <w:name w:val="Intense Emphasis"/>
    <w:basedOn w:val="DefaultParagraphFont"/>
    <w:uiPriority w:val="21"/>
    <w:qFormat/>
    <w:rsid w:val="00B428EA"/>
    <w:rPr>
      <w:i/>
      <w:iCs/>
      <w:color w:val="0F4761" w:themeColor="accent1" w:themeShade="BF"/>
    </w:rPr>
  </w:style>
  <w:style w:type="paragraph" w:styleId="IntenseQuote">
    <w:name w:val="Intense Quote"/>
    <w:basedOn w:val="Normal"/>
    <w:next w:val="Normal"/>
    <w:link w:val="IntenseQuoteChar"/>
    <w:uiPriority w:val="30"/>
    <w:qFormat/>
    <w:rsid w:val="00B42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8EA"/>
    <w:rPr>
      <w:i/>
      <w:iCs/>
      <w:color w:val="0F4761" w:themeColor="accent1" w:themeShade="BF"/>
    </w:rPr>
  </w:style>
  <w:style w:type="character" w:styleId="IntenseReference">
    <w:name w:val="Intense Reference"/>
    <w:basedOn w:val="DefaultParagraphFont"/>
    <w:uiPriority w:val="32"/>
    <w:qFormat/>
    <w:rsid w:val="00B42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Anyssa</dc:creator>
  <cp:keywords/>
  <dc:description/>
  <cp:lastModifiedBy>Murphy, Anyssa</cp:lastModifiedBy>
  <cp:revision>10</cp:revision>
  <dcterms:created xsi:type="dcterms:W3CDTF">2024-12-18T14:51:00Z</dcterms:created>
  <dcterms:modified xsi:type="dcterms:W3CDTF">2024-12-18T17:56:00Z</dcterms:modified>
</cp:coreProperties>
</file>