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680"/>
        <w:gridCol w:w="3400"/>
      </w:tblGrid>
      <w:tr>
        <w:tc>
          <w:tcPr>
            <w:tcW w:type="dxa" w:w="6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bottom"/>
          </w:tcPr>
          <w:p>
            <w:pPr>
              <w:spacing w:after="0" w:line="300"/>
            </w:pPr>
            <w:r>
              <w:rPr>
                <w:rFonts w:ascii="Arial" w:cs="Arial" w:eastAsia="Arial" w:hAnsi="Arial"/>
                <w:b/>
                <w:bCs/>
                <w:color w:val="173A73"/>
                <w:sz w:val="38"/>
                <w:szCs w:val="38"/>
              </w:rPr>
              <w:t xml:space="preserve">Acuerdo de vinculación de socio gestor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center"/>
          </w:tcPr>
          <w:tbl>
            <w:tblPr>
              <w:tblW w:type="dxa" w:w="3400"/>
              <w:tblBorders>
                <w:top w:val="single" w:color="CFE0F5" w:sz="4"/>
                <w:left w:val="single" w:color="CFE0F5" w:sz="4"/>
                <w:bottom w:val="single" w:color="CFE0F5" w:sz="4"/>
                <w:right w:val="single" w:color="CFE0F5" w:sz="4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500"/>
              <w:gridCol w:w="1900"/>
            </w:tblGrid>
            <w:t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EF4FC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Arial" w:cs="Arial" w:eastAsia="Arial" w:hAnsi="Arial"/>
                      <w:color w:val="5B6B80"/>
                      <w:sz w:val="16"/>
                      <w:szCs w:val="16"/>
                    </w:rPr>
                    <w:t xml:space="preserve">Código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EF4FC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73A73"/>
                      <w:sz w:val="16"/>
                      <w:szCs w:val="16"/>
                    </w:rPr>
                    <w:t xml:space="preserve">CNV-FR-14</w:t>
                  </w:r>
                </w:p>
              </w:tc>
            </w:tr>
            <w:t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Arial" w:cs="Arial" w:eastAsia="Arial" w:hAnsi="Arial"/>
                      <w:color w:val="5B6B80"/>
                      <w:sz w:val="16"/>
                      <w:szCs w:val="16"/>
                    </w:rPr>
                    <w:t xml:space="preserve">Acuerdo N°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73A73"/>
                      <w:sz w:val="16"/>
                      <w:szCs w:val="16"/>
                    </w:rPr>
                    <w:t xml:space="preserve">SG-003</w:t>
                  </w:r>
                </w:p>
              </w:tc>
            </w:tr>
            <w:t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EF4FC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Arial" w:cs="Arial" w:eastAsia="Arial" w:hAnsi="Arial"/>
                      <w:color w:val="5B6B80"/>
                      <w:sz w:val="16"/>
                      <w:szCs w:val="16"/>
                    </w:rPr>
                    <w:t xml:space="preserve">Fecha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EF4FC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73A73"/>
                      <w:sz w:val="16"/>
                      <w:szCs w:val="16"/>
                      <w:shd w:fill="FFF7D6" w:color="auto" w:val="clear"/>
                    </w:rPr>
                    <w:t xml:space="preserve">[dd/mm/aaaa]</w:t>
                  </w:r>
                </w:p>
              </w:tc>
            </w:tr>
            <w:t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Arial" w:cs="Arial" w:eastAsia="Arial" w:hAnsi="Arial"/>
                      <w:color w:val="5B6B80"/>
                      <w:sz w:val="16"/>
                      <w:szCs w:val="16"/>
                    </w:rPr>
                    <w:t xml:space="preserve">Versión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73A73"/>
                      <w:sz w:val="16"/>
                      <w:szCs w:val="16"/>
                    </w:rPr>
                    <w:t xml:space="preserve">1</w:t>
                  </w:r>
                </w:p>
              </w:tc>
            </w:tr>
          </w:tbl>
          <w:p/>
        </w:tc>
      </w:tr>
    </w:tbl>
    <w:p>
      <w:pPr>
        <w:pBdr>
          <w:top w:val="single" w:color="EAF1FB" w:sz="18" w:space="4"/>
          <w:bottom w:val="single" w:color="EAF1FB" w:sz="18" w:space="4"/>
          <w:left w:val="single" w:color="EAF1FB" w:sz="18" w:space="6"/>
          <w:right w:val="single" w:color="EAF1FB" w:sz="18" w:space="6"/>
        </w:pBdr>
        <w:shd w:fill="EAF1FB" w:color="auto" w:val="clear"/>
        <w:spacing w:after="200" w:before="200"/>
        <w:ind w:left="130" w:right="130"/>
      </w:pPr>
      <w:r>
        <w:rPr>
          <w:rFonts w:ascii="Arial" w:cs="Arial" w:eastAsia="Arial" w:hAnsi="Arial"/>
          <w:b/>
          <w:bCs/>
          <w:color w:val="173A73"/>
          <w:sz w:val="21"/>
          <w:szCs w:val="21"/>
        </w:rPr>
        <w:t xml:space="preserve">Coordinador Comercial y Administrativo · Jorge Cantillo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0"/>
        <w:gridCol w:w="5040"/>
      </w:tblGrid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top"/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73A73"/>
                <w:spacing w:val="10"/>
                <w:sz w:val="16"/>
                <w:szCs w:val="16"/>
              </w:rPr>
              <w:t xml:space="preserve">LA SOCIEDAD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Empresa: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color w:val="16233A"/>
                <w:sz w:val="18"/>
                <w:szCs w:val="18"/>
              </w:rPr>
              <w:t xml:space="preserve">Cenova S.A.S.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NIT: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</w:rPr>
              <w:t xml:space="preserve">902.114.180-1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Representante: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</w:rPr>
              <w:t xml:space="preserve">Lina Giraldo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Dirección: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</w:rPr>
              <w:t xml:space="preserve">Cartagena, Bolívar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Aprobado en: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</w:rPr>
              <w:t xml:space="preserve">Acta de asamblea N° 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  <w:shd w:fill="FFF7D6" w:color="auto" w:val="clear"/>
              </w:rPr>
              <w:t xml:space="preserve">[número]</w:t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top"/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73A73"/>
                <w:spacing w:val="10"/>
                <w:sz w:val="16"/>
                <w:szCs w:val="16"/>
              </w:rPr>
              <w:t xml:space="preserve">EL SOCIO GESTOR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Nombre: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color w:val="16233A"/>
                <w:sz w:val="18"/>
                <w:szCs w:val="18"/>
              </w:rPr>
              <w:t xml:space="preserve">Jorge Cantillo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C.C.: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  <w:shd w:fill="FFF7D6" w:color="auto" w:val="clear"/>
              </w:rPr>
              <w:t xml:space="preserve">[número]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</w:rPr>
              <w:t xml:space="preserve"> de 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  <w:shd w:fill="FFF7D6" w:color="auto" w:val="clear"/>
              </w:rPr>
              <w:t xml:space="preserve">[ciudad]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Cargo: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</w:rPr>
              <w:t xml:space="preserve">Coordinador Comercial y Administrativo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Acciones: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  <w:shd w:fill="FFF7D6" w:color="auto" w:val="clear"/>
              </w:rPr>
              <w:t xml:space="preserve">[número]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</w:rPr>
              <w:t xml:space="preserve"> (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  <w:shd w:fill="FFF7D6" w:color="auto" w:val="clear"/>
              </w:rPr>
              <w:t xml:space="preserve">[porcentaje]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</w:rPr>
              <w:t xml:space="preserve"> %)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Dirección: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  <w:shd w:fill="FFF7D6" w:color="auto" w:val="clear"/>
              </w:rPr>
              <w:t xml:space="preserve">[Dirección]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Email: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  <w:shd w:fill="FFF7D6" w:color="auto" w:val="clear"/>
              </w:rPr>
              <w:t xml:space="preserve">[correo]</w:t>
            </w:r>
          </w:p>
        </w:tc>
      </w:tr>
    </w:tbl>
    <w:p>
      <w:pPr>
        <w:spacing w:after="120" w:before="160" w:line="288"/>
        <w:jc w:val="both"/>
      </w:pPr>
      <w:r>
        <w:rPr>
          <w:rFonts w:ascii="Arial" w:cs="Arial" w:eastAsia="Arial" w:hAnsi="Arial"/>
          <w:color w:val="16233A"/>
          <w:sz w:val="20"/>
          <w:szCs w:val="20"/>
        </w:rPr>
        <w:t xml:space="preserve">Entre CENOVA S.A.S. (LA SOCIEDAD), representada por su Gerente General y Representante Legal, y el accionista identificado arriba (EL SOCIO GESTOR), se celebra este acuerdo para dejar por escrito su cargo, sus funciones y las reglas internas que aplican, con las siguientes cláusulas: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PRIMERA. Cargo.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EL SOCIO GESTOR ejerce el cargo de Coordinador Comercial y Administrativo de CENOVA S.A.S., designado por la asamblea de accionistas. Reporta a la Gerencia General y trabaja en coordinación con la otra dirección.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SEGUNDA. Funciones.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Tiene a su cargo: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color w:val="3A4A60"/>
          <w:sz w:val="20"/>
          <w:szCs w:val="20"/>
        </w:rPr>
        <w:t xml:space="preserve">Buscar clientes nuevos y atender a los actuales: visitas, llamadas, correos y redes.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color w:val="3A4A60"/>
          <w:sz w:val="20"/>
          <w:szCs w:val="20"/>
        </w:rPr>
        <w:t xml:space="preserve">Armar y enviar las cotizaciones a tiempo, con costos completos, y hacerles seguimiento hasta su aprobación o rechazo.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color w:val="3A4A60"/>
          <w:sz w:val="20"/>
          <w:szCs w:val="20"/>
        </w:rPr>
        <w:t xml:space="preserve">Registrar en la intranet clientes, cotizaciones, órdenes de compra y su estado.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color w:val="3A4A60"/>
          <w:sz w:val="20"/>
          <w:szCs w:val="20"/>
        </w:rPr>
        <w:t xml:space="preserve">Acordar con el cliente las condiciones comerciales: anticipo, plazos de pago y fecha de inicio.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color w:val="3A4A60"/>
          <w:sz w:val="20"/>
          <w:szCs w:val="20"/>
        </w:rPr>
        <w:t xml:space="preserve">Hacer el seguimiento a la cartera y apoyar el cobro de los saldos pendientes.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color w:val="3A4A60"/>
          <w:sz w:val="20"/>
          <w:szCs w:val="20"/>
        </w:rPr>
        <w:t xml:space="preserve">Apoyar la parte administrativa: documentos de clientes y proveedores, contratos, archivo y entrega contable mensual (CNV-FR-10).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color w:val="3A4A60"/>
          <w:sz w:val="20"/>
          <w:szCs w:val="20"/>
        </w:rPr>
        <w:t xml:space="preserve">Cuidar la imagen de la marca: sitio web, tienda virtual, presentaciones y redes.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color w:val="3A4A60"/>
          <w:sz w:val="20"/>
          <w:szCs w:val="20"/>
        </w:rPr>
        <w:t xml:space="preserve">Proponer cada trimestre metas comerciales y reportar su resultado.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TERCERA. Dedicación.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EL SOCIO GESTOR dedicará al cargo el tiempo que requieran los proyectos y clientes a su cargo, sin perjuicio de sus otras actividades, y participará en la reunión semanal de seguimiento. Cuando no pueda atender un compromiso, avisará con anticipación para que otro socio lo cubra.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CUARTA. Representación.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EL SOCIO GESTOR no es representante legal. Puede firmar cotizaciones, actas de entrega y documentos operativos de su área; los contratos, las órdenes de compra a proveedores y los pagos los firma o aprueba la Gerencia General, según los estatutos.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QUINTA. Naturaleza del vínculo.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EL SOCIO GESTOR presta sus servicios en su calidad de accionista y por decisión propia, para el desarrollo de la empresa de la que es dueño en parte. Este acuerdo no crea un contrato de trabajo: no hay salario, subordinación laboral ni horario impuesto, y no se causan prestaciones sociales.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color w:val="3A4A60"/>
          <w:sz w:val="20"/>
          <w:szCs w:val="20"/>
        </w:rPr>
        <w:t xml:space="preserve">Si en el futuro la asamblea decide pagarle un salario u honorarios por el cargo, se firmará el contrato que corresponda y este acuerdo se ajustará por escrito.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SEXTA. Remuneración y beneficio económico.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El cargo no tiene remuneración fija. EL SOCIO GESTOR recibe el beneficio de su trabajo a través de las utilidades que la asamblea decrete, en proporción a sus acciones, según los estatutos.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color w:val="3A4A60"/>
          <w:sz w:val="20"/>
          <w:szCs w:val="20"/>
        </w:rPr>
        <w:t xml:space="preserve">Cenova le reembolsará los gastos en que incurra por cuenta de la empresa (transporte a obras, compras urgentes, trámites), siempre que estén aprobados según las políticas internas y tengan soporte. Los reembolsos se registran en Finanzas de la intranet.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SÉPTIMA. Seguridad social.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Como no hay relación laboral, EL SOCIO GESTOR mantiene por su cuenta su afiliación a salud y pensión. Para las visitas y trabajos en obra debe estar afiliado a riesgos laborales (ARL) en el nivel de riesgo que corresponda, y presentar el soporte cuando la empresa lo pida.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OCTAVA. Desempeño.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EL SOCIO GESTOR cumplirá las metas de su cargo que se fijen cada trimestre, según el Manual de desempeño y salida de socios gestores (formato CNV-FR-15), y participará en la evaluación trimestral (formato CNV-FR-16).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NOVENA. Deberes como administrador.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En lo que le corresponda como administrador, EL SOCIO GESTOR obrará de buena fe, con lealtad y con la diligencia de un buen hombre de negocios, en interés de la sociedad y de todos sus accionistas, conforme al artículo 23 de la Ley 222 de 1995.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DÉCIMA. Retiro del cargo.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EL SOCIO GESTOR puede renunciar al cargo con un aviso escrito de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[30]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 días. La asamblea puede retirarlo del cargo por las causas y con el procedimiento del Manual (CNV-FR-15). En ambos casos hará la entrega formal del cargo con el acta CNV-FR-17.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color w:val="3A4A60"/>
          <w:sz w:val="20"/>
          <w:szCs w:val="20"/>
        </w:rPr>
        <w:t xml:space="preserve">Dejar el cargo no le quita su calidad de accionista ni sus acciones; la venta o transferencia de acciones se rige por los estatutos y por el acuerdo de accionistas, si existe.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UNDÉCIMA. Vigencia.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Este acuerdo rige desde su firma y por término indefinido, mientras EL SOCIO GESTOR ocupe el cargo. Cualquier cambio se hará por escrito y firmado por las partes.</w:t>
      </w:r>
    </w:p>
    <w:p>
      <w:pPr>
        <w:spacing w:after="120" w:before="120" w:line="288"/>
        <w:jc w:val="both"/>
      </w:pPr>
      <w:r>
        <w:rPr>
          <w:rFonts w:ascii="Arial" w:cs="Arial" w:eastAsia="Arial" w:hAnsi="Arial"/>
          <w:color w:val="16233A"/>
          <w:sz w:val="20"/>
          <w:szCs w:val="20"/>
        </w:rPr>
        <w:t xml:space="preserve">Para constancia se firma en Cartagena, el </w:t>
      </w:r>
      <w:r>
        <w:rPr>
          <w:rFonts w:ascii="Arial" w:cs="Arial" w:eastAsia="Arial" w:hAnsi="Arial"/>
          <w:color w:val="16233A"/>
          <w:sz w:val="20"/>
          <w:szCs w:val="20"/>
          <w:shd w:fill="FFF7D6" w:color="auto" w:val="clear"/>
        </w:rPr>
        <w:t xml:space="preserve">[dd/mm/aaaa]</w:t>
      </w:r>
      <w:r>
        <w:rPr>
          <w:rFonts w:ascii="Arial" w:cs="Arial" w:eastAsia="Arial" w:hAnsi="Arial"/>
          <w:color w:val="16233A"/>
          <w:sz w:val="20"/>
          <w:szCs w:val="20"/>
        </w:rPr>
        <w:t xml:space="preserve">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before="650"/>
            </w:pPr>
          </w:p>
          <w:p>
            <w:pPr>
              <w:pBdr>
                <w:top w:val="single" w:color="173A73" w:sz="8" w:space="1"/>
              </w:pBdr>
              <w:spacing w:after="40"/>
              <w:ind w:left="200" w:right="200"/>
            </w:pP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6233A"/>
                <w:sz w:val="18"/>
                <w:szCs w:val="18"/>
              </w:rPr>
              <w:t xml:space="preserve">Lina Giraldo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5B6B80"/>
                <w:sz w:val="16"/>
                <w:szCs w:val="16"/>
              </w:rPr>
              <w:t xml:space="preserve">Por LA SOCIEDAD · Gerente General y Representante Legal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5B6B80"/>
                <w:sz w:val="16"/>
                <w:szCs w:val="16"/>
              </w:rPr>
              <w:t xml:space="preserve">C.C. </w:t>
            </w:r>
            <w:r>
              <w:rPr>
                <w:rFonts w:ascii="Arial" w:cs="Arial" w:eastAsia="Arial" w:hAnsi="Arial"/>
                <w:color w:val="5B6B80"/>
                <w:sz w:val="16"/>
                <w:szCs w:val="16"/>
                <w:shd w:fill="FFF7D6" w:color="auto" w:val="clear"/>
              </w:rPr>
              <w:t xml:space="preserve">[número]</w:t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before="650"/>
            </w:pPr>
          </w:p>
          <w:p>
            <w:pPr>
              <w:pBdr>
                <w:top w:val="single" w:color="173A73" w:sz="8" w:space="1"/>
              </w:pBdr>
              <w:spacing w:after="40"/>
              <w:ind w:left="200" w:right="200"/>
            </w:pP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6233A"/>
                <w:sz w:val="18"/>
                <w:szCs w:val="18"/>
              </w:rPr>
              <w:t xml:space="preserve">Jorge Cantillo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5B6B80"/>
                <w:sz w:val="16"/>
                <w:szCs w:val="16"/>
              </w:rPr>
              <w:t xml:space="preserve">EL SOCIO GESTOR · Coordinador Comercial y Administrativo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5B6B80"/>
                <w:sz w:val="16"/>
                <w:szCs w:val="16"/>
              </w:rPr>
              <w:t xml:space="preserve">C.C. </w:t>
            </w:r>
            <w:r>
              <w:rPr>
                <w:rFonts w:ascii="Arial" w:cs="Arial" w:eastAsia="Arial" w:hAnsi="Arial"/>
                <w:color w:val="5B6B80"/>
                <w:sz w:val="16"/>
                <w:szCs w:val="16"/>
                <w:shd w:fill="FFF7D6" w:color="auto" w:val="clear"/>
              </w:rPr>
              <w:t xml:space="preserve">[número]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500" w:right="1080" w:bottom="1300" w:left="1080" w:header="50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4E9F1" w:sz="4" w:space="6"/>
      </w:pBdr>
      <w:spacing w:after="40"/>
      <w:jc w:val="center"/>
    </w:pPr>
    <w:r>
      <w:rPr>
        <w:rFonts w:ascii="Arial" w:cs="Arial" w:eastAsia="Arial" w:hAnsi="Arial"/>
        <w:b/>
        <w:bCs/>
        <w:color w:val="FFFFFF"/>
        <w:sz w:val="14"/>
        <w:szCs w:val="14"/>
        <w:shd w:fill="2456A6" w:color="auto" w:val="clear"/>
      </w:rPr>
      <w:t xml:space="preserve"> @ </w:t>
    </w:r>
    <w:r>
      <w:rPr>
        <w:rFonts w:ascii="Arial" w:cs="Arial" w:eastAsia="Arial" w:hAnsi="Arial"/>
        <w:b/>
        <w:bCs/>
        <w:color w:val="173A73"/>
        <w:sz w:val="16"/>
        <w:szCs w:val="16"/>
      </w:rPr>
      <w:t xml:space="preserve">  gerencia@cenovasas.com      </w:t>
    </w:r>
    <w:r>
      <w:rPr>
        <w:rFonts w:ascii="Arial" w:cs="Arial" w:eastAsia="Arial" w:hAnsi="Arial"/>
        <w:b/>
        <w:bCs/>
        <w:color w:val="FFFFFF"/>
        <w:sz w:val="14"/>
        <w:szCs w:val="14"/>
        <w:shd w:fill="2456A6" w:color="auto" w:val="clear"/>
      </w:rPr>
      <w:t xml:space="preserve"> &gt; </w:t>
    </w:r>
    <w:r>
      <w:rPr>
        <w:rFonts w:ascii="Arial" w:cs="Arial" w:eastAsia="Arial" w:hAnsi="Arial"/>
        <w:b/>
        <w:bCs/>
        <w:color w:val="173A73"/>
        <w:sz w:val="16"/>
        <w:szCs w:val="16"/>
      </w:rPr>
      <w:t xml:space="preserve">  https://cenovasas.com      </w:t>
    </w:r>
    <w:r>
      <w:rPr>
        <w:rFonts w:ascii="Arial" w:cs="Arial" w:eastAsia="Arial" w:hAnsi="Arial"/>
        <w:b/>
        <w:bCs/>
        <w:color w:val="FFFFFF"/>
        <w:sz w:val="14"/>
        <w:szCs w:val="14"/>
        <w:shd w:fill="2456A6" w:color="auto" w:val="clear"/>
      </w:rPr>
      <w:t xml:space="preserve"> T </w:t>
    </w:r>
    <w:r>
      <w:rPr>
        <w:rFonts w:ascii="Arial" w:cs="Arial" w:eastAsia="Arial" w:hAnsi="Arial"/>
        <w:b/>
        <w:bCs/>
        <w:color w:val="173A73"/>
        <w:sz w:val="16"/>
        <w:szCs w:val="16"/>
      </w:rPr>
      <w:t xml:space="preserve">  +57 320 717 4937</w:t>
    </w:r>
  </w:p>
  <w:p>
    <w:pPr>
      <w:spacing w:after="0"/>
      <w:jc w:val="center"/>
    </w:pPr>
    <w:r>
      <w:rPr>
        <w:rFonts w:ascii="Arial" w:cs="Arial" w:eastAsia="Arial" w:hAnsi="Arial"/>
        <w:color w:val="5B6B80"/>
        <w:sz w:val="14"/>
        <w:szCs w:val="14"/>
      </w:rPr>
      <w:t xml:space="preserve">Cenova S.A.S. · NIT 902.114.180-1 · Cartagena, Bolívar · CNV-FR-14 · Página </w:t>
    </w:r>
    <w:r>
      <w:rPr>
        <w:rFonts w:ascii="Arial" w:cs="Arial" w:eastAsia="Arial" w:hAnsi="Arial"/>
        <w:color w:val="5B6B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B80"/>
        <w:sz w:val="14"/>
        <w:szCs w:val="14"/>
      </w:rPr>
      <w:t xml:space="preserve"> de </w:t>
    </w:r>
    <w:r>
      <w:rPr>
        <w:rFonts w:ascii="Arial" w:cs="Arial" w:eastAsia="Arial" w:hAnsi="Arial"/>
        <w:color w:val="5B6B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anchor distT="0" distB="0" distL="0" distR="0" simplePos="0" allowOverlap="1" behindDoc="1" locked="0" layoutInCell="1" relativeHeight="1238250">
          <wp:simplePos x="0" y="0"/>
          <wp:positionH relativeFrom="page">
            <wp:posOffset>5962650</wp:posOffset>
          </wp:positionH>
          <wp:positionV relativeFrom="page">
            <wp:posOffset>0</wp:posOffset>
          </wp:positionV>
          <wp:extent cx="1809750" cy="12382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1238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tbl>
    <w:tblPr>
      <w:tblW w:type="dxa" w:w="1008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760"/>
      <w:gridCol w:w="9320"/>
    </w:tblGrid>
    <w:tr>
      <w:tc>
        <w:tcPr>
          <w:tcW w:type="dxa" w:w="76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120"/>
            <w:bottom w:type="dxa" w:w="0"/>
            <w:right w:type="dxa" w:w="12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419100" cy="3238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19100" cy="3238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93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120"/>
            <w:bottom w:type="dxa" w:w="0"/>
            <w:right w:type="dxa" w:w="120"/>
          </w:tcMar>
          <w:vAlign w:val="center"/>
        </w:tcPr>
        <w:p>
          <w:pPr>
            <w:spacing w:after="0" w:line="240"/>
          </w:pPr>
          <w:r>
            <w:rPr>
              <w:rFonts w:ascii="Arial" w:cs="Arial" w:eastAsia="Arial" w:hAnsi="Arial"/>
              <w:b/>
              <w:bCs/>
              <w:color w:val="173A73"/>
              <w:spacing w:val="8"/>
              <w:sz w:val="30"/>
              <w:szCs w:val="30"/>
            </w:rPr>
            <w:t xml:space="preserve">CENOVA</w:t>
          </w:r>
        </w:p>
        <w:p>
          <w:pPr>
            <w:spacing w:after="0"/>
          </w:pPr>
          <w:r>
            <w:rPr>
              <w:rFonts w:ascii="Arial" w:cs="Arial" w:eastAsia="Arial" w:hAnsi="Arial"/>
              <w:color w:val="5B6B80"/>
              <w:spacing w:val="30"/>
              <w:sz w:val="13"/>
              <w:szCs w:val="13"/>
            </w:rPr>
            <w:t xml:space="preserve">TECNOLOGÍA QUE TRANSFORMA</w:t>
          </w:r>
        </w:p>
      </w:tc>
    </w:tr>
  </w:tbl>
  <w:p>
    <w:pPr>
      <w:spacing w:after="1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  <w:rPr>
        <w:color w:val="2456A6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lowerLetter"/>
      <w:lvlText w:val="%1)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6233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af901d31b1223e0aa50ec3d620a627dcaff1988.png"/><Relationship Id="rId1" Type="http://schemas.openxmlformats.org/officeDocument/2006/relationships/image" Target="media/d86c52cd7b764b9169afee76ed81e9287f77b8c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Acuerdo de vinculación — Coordinador Comercial y Administrativo</dc:title>
  <dc:creator>Cenova S.A.S.</dc:creator>
  <dc:description>Formato CNV-FR-14 de Cenova S.A.S.</dc:description>
  <cp:lastModifiedBy>Un-named</cp:lastModifiedBy>
  <cp:revision>1</cp:revision>
  <dcterms:created xsi:type="dcterms:W3CDTF">2026-10-09T18:31:23.164Z</dcterms:created>
  <dcterms:modified xsi:type="dcterms:W3CDTF">2026-10-09T18:31:23.164Z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