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Manual de desempeño y salida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CNV-FR-15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Manual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POL-01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Políticas internas para los socios que trabajan en Cenova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1. OBJETO Y ALCANCE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Este manual fija cómo se miden las metas de los socios que ocupan un cargo en CENOVA S.A.S. (Gerencia General, Coordinación Técnica y de Operaciones y Coordinación Comercial y Administrativa), qué pasa cuando no se cumplen y cómo se deja un cargo. Hace parte de los acuerdos de vinculación CNV-FR-12, 13 y 14. Aplica también a quien ocupe esos cargos en el futuro.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2. PRINCIPIOS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Las metas se acuerdan entre los tres socios, son pocas, se pueden medir con la intranet y se revisan cada trimestre.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Las diferencias se hablan primero en la reunión semanal; lo escrito es para dejar constancia, no para castigar.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Ser socio y ocupar un cargo son cosas distintas: salir del cargo no afecta las acciones.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3. METAS POR CARGO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Cada trimestre, en la primera semana, los socios acuerdan el valor de cada meta. Estos son los indicadores de referencia y de dónde salen: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4580"/>
        <w:gridCol w:w="3200"/>
      </w:tblGrid>
      <w:tr>
        <w:trPr>
          <w:tblHeader/>
        </w:trP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CARGO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DÓNDE SE MIDE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Gerencia General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Margen real de las obras frente a la meta (30 %)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Costos → Costo real por obra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Gerencia General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Pagos, impuestos y obligaciones al día; cartera vencida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Finanzas → Resumen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Gerencia General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Informe mensual a los socios y entrega contable a tiempo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Formatos (CNV-FR-10)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Coord. Técnica y de Operaciones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Obras entregadas en los días cotizados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Estadísticas → Cumplimiento de días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Coord. Técnica y de Operaciones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Costo real frente al cotizado y materiales dañados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Costos / Estadísticas → Desvíos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Coord. Técnica y de Operaciones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Actas de entrega e informes firmados; cero accidentes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Formatos (CNV-FR-01 y 02)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Coord. Comercial y Administrativa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Cotizaciones enviadas y tasa de aprobación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Estadísticas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Coord. Comercial y Administrativa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Tiempo de respuesta al cliente y seguimiento al día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Cotizaciones / Agenda</w:t>
            </w:r>
          </w:p>
        </w:tc>
      </w:tr>
      <w:tr>
        <w:tc>
          <w:tcPr>
            <w:tcW w:type="dxa" w:w="23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Coord. Comercial y Administrativa</w:t>
            </w:r>
          </w:p>
        </w:tc>
        <w:tc>
          <w:tcPr>
            <w:tcW w:type="dxa" w:w="4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Cartera cobrada y clientes nuevos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Finanzas / Clientes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4. EVALUACIÓN TRIMESTRAL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En la última semana del trimestre cada socio llena su autoevaluación en el formato CNV-FR-16 con los resultados de la intranet.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Los tres socios se reúnen, revisan cada meta y califican: Cumple (100 % o más), Cumple parcialmente (70 % a 99 %) o No cumple (menos de 70 %).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Se dejan escritos los logros, las causas de lo que no se cumplió (incluidas las que no dependen del socio) y los compromisos del siguiente trimestre.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El formato firmado se guarda con las actas de la empresa.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5. PLAN DE MEJORA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Si un socio tiene "No cumple" en la mayoría de sus metas en un trimestre, o en la misma meta dos trimestres seguidos, se acuerda por escrito un plan de mejora de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[60]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días con acciones concretas, apoyo de los demás socios y fechas de revisión. Si las causas son externas (mercado, clientes, salud), se ajustan las metas en vez de abrir un plan de mejora.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6. FALTAS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Se consideran faltas en el ejercicio del cargo: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8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EJEMPLOS</w:t>
            </w:r>
          </w:p>
        </w:tc>
      </w:tr>
      <w:tr>
        <w:tc>
          <w:tcPr>
            <w:tcW w:type="dxa" w:w="1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Leve</w:t>
            </w:r>
          </w:p>
        </w:tc>
        <w:tc>
          <w:tcPr>
            <w:tcW w:type="dxa" w:w="8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Incumplir compromisos de la reunión semanal sin avisar; no registrar en la intranet lo de su área; retrasos repetidos en la respuesta a clientes.</w:t>
            </w:r>
          </w:p>
        </w:tc>
      </w:tr>
      <w:tr>
        <w:tc>
          <w:tcPr>
            <w:tcW w:type="dxa" w:w="1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Grave</w:t>
            </w:r>
          </w:p>
        </w:tc>
        <w:tc>
          <w:tcPr>
            <w:tcW w:type="dxa" w:w="8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Comprometer a la empresa por encima de sus facultades; ocultar información de clientes, costos o pagos; usar recursos de la empresa para fines personales; tratar mal a clientes, proveedores o personal.</w:t>
            </w:r>
          </w:p>
        </w:tc>
      </w:tr>
      <w:tr>
        <w:tc>
          <w:tcPr>
            <w:tcW w:type="dxa" w:w="17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Muy grave</w:t>
            </w:r>
          </w:p>
        </w:tc>
        <w:tc>
          <w:tcPr>
            <w:tcW w:type="dxa" w:w="83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Hacer trabajos para clientes de Cenova por su cuenta; apropiarse de dinero, equipos o información; actos que dañen gravemente la reputación de la empresa.</w:t>
            </w:r>
          </w:p>
        </w:tc>
      </w:tr>
    </w:tbl>
    <w:p>
      <w:pPr>
        <w:spacing w:after="120" w:before="10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Procedimiento: (a) llamado de atención escrito que describe los hechos; (b) el socio presenta sus explicaciones por escrito dentro de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[5]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días hábiles; (c) los demás socios deciden y dejan constancia. Las faltas leves se manejan con compromisos; dos faltas graves en un año o una muy grave pueden dar lugar al retiro del cargo. Nada de esto limita las acciones legales que procedan.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7. RETIRO DEL CARGO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580"/>
      </w:tblGrid>
      <w:tr>
        <w:trPr>
          <w:tblHeader/>
        </w:trPr>
        <w:tc>
          <w:tcPr>
            <w:tcW w:type="dxa" w:w="2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CAUSA</w:t>
            </w:r>
          </w:p>
        </w:tc>
        <w:tc>
          <w:tcPr>
            <w:tcW w:type="dxa" w:w="7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CÓMO SE HACE</w:t>
            </w:r>
          </w:p>
        </w:tc>
      </w:tr>
      <w:tr>
        <w:tc>
          <w:tcPr>
            <w:tcW w:type="dxa" w:w="2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Renuncia</w:t>
            </w:r>
          </w:p>
        </w:tc>
        <w:tc>
          <w:tcPr>
            <w:tcW w:type="dxa" w:w="7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Aviso escrito a los demás socios con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[30]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 días de anticipación, salvo que acuerden un plazo menor.</w:t>
            </w:r>
          </w:p>
        </w:tc>
      </w:tr>
      <w:tr>
        <w:tc>
          <w:tcPr>
            <w:tcW w:type="dxa" w:w="2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Decisión de la asamblea</w:t>
            </w:r>
          </w:p>
        </w:tc>
        <w:tc>
          <w:tcPr>
            <w:tcW w:type="dxa" w:w="7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Por falta grave o muy grave, por incumplir un plan de mejora o por reorganización de la empresa. Se decide en asamblea con la mayoría de los estatutos y se le informa por escrito con las razones.</w:t>
            </w:r>
          </w:p>
        </w:tc>
      </w:tr>
      <w:tr>
        <w:tc>
          <w:tcPr>
            <w:tcW w:type="dxa" w:w="25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Imposibilidad</w:t>
            </w:r>
          </w:p>
        </w:tc>
        <w:tc>
          <w:tcPr>
            <w:tcW w:type="dxa" w:w="75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Incapacidad prolongada, fallecimiento u otra causa que impida ejercer el cargo. Los demás socios asumen las funciones mientras se nombra reemplazo.</w:t>
            </w:r>
          </w:p>
        </w:tc>
      </w:tr>
    </w:tbl>
    <w:p>
      <w:pPr>
        <w:spacing w:after="120" w:before="10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Si quien sale es el Representante Legal, la asamblea nombra de inmediato su reemplazo y se inscribe el cambio en la Cámara de Comercio; mientras tanto actúa el suplente, si los estatutos lo prevén.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8. ENTREGA DEL CARGO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Dentro de los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[10]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 días hábiles siguientes a la salida, el socio entrega el cargo con el acta CNV-FR-17, que incluye como mínimo: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Usuarios y contraseñas de la intranet, correos, redes, tienda, proveedores y plataformas; se cambian el mismo día.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Firmas y permisos en bancos, pasarela de pago, DIAN y Cámara de Comercio (en el caso de la Gerencia).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Cotizaciones, clientes y obras en curso con su estado y los compromisos pendientes con cada uno.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Dinero, tarjetas, equipos, herramientas, materiales y documentos de la empresa que tenga en su poder.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Archivos digitales de la empresa (planos, fotos, contratos, bases de datos); no puede quedarse con copias.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9. DESPUÉS DE LA SALIDA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El socio que deja el cargo sigue siendo accionista, con los derechos de los estatutos. Guardará reserva de la información de la empresa y de sus clientes. Si decide vender sus acciones, se aplica el derecho de preferencia de los demás accionistas previsto en los estatutos o en el acuerdo de accionistas.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10. VIGENCIA Y CAMBIOS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Este manual rige desde que lo firmen los tres socios. Se puede cambiar por acuerdo escrito de los socios o por decisión de la asamblea, y cada cambio queda con nueva versión y fecha.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FIRMAS DE CONOCIMIENTO Y ACEPTACIÓN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Gerente General y Representante Legal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Ángel Berrocal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Coordinador Técnico y de Operaciones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Jorge Cantillo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Coordinador Comercial y Administrativo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Revise que este manual no contradiga los estatutos de Cenova S.A.S. ni un acuerdo de accionistas; si hay diferencias, mandan los estatutos.</w:t>
      </w:r>
    </w:p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CNV-FR-15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desempeño y salida de socios gestores</dc:title>
  <dc:creator>Cenova S.A.S.</dc:creator>
  <dc:description>Formato CNV-FR-15 de Cenova S.A.S.</dc:description>
  <cp:lastModifiedBy>Un-named</cp:lastModifiedBy>
  <cp:revision>1</cp:revision>
  <dcterms:created xsi:type="dcterms:W3CDTF">2026-10-09T18:31:23.189Z</dcterms:created>
  <dcterms:modified xsi:type="dcterms:W3CDTF">2026-10-09T18:31:23.189Z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