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Contrato de prestación de servicios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CNV-FR-04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Contrato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[CON-0000]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Suministro e instalación de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[sistema]</w:t>
      </w: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[Cliente]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CONTRATANTE (CLIENTE)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Nombre: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[Razón social o nombre]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 / C.C.: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[000.000.000-0]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 rep.: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[correo]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CONTRATISTA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+57 320 717 4937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gerencia@cenovasas.com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C.C. rep.: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Entre las partes identificadas arriba, que en adelante se llamarán EL CONTRATANTE y EL CONTRATISTA (CENOVA S.A.S.), se celebra el presente contrato de prestación de servicios y suministro, que se regirá por las siguientes cláusulas y, en lo no previsto, por las normas del Código Civil y del Código de Comercio colombianos.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PRIMERA. Objeto.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CONTRATISTA se obliga a suministrar e instalar, con autonomía técnica y administrativa,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[descripción del sistema o servicio]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en el inmueble ubicado en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[dirección]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según el alcance, las cantidades y las especificaciones de la cotización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[COT-0000]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[fecha]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que hace parte integral de este contrato como Anexo 1.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SEGUNDA. Alcance.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Incluye: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[equipos, materiales, mano de obra, configuración, pruebas y capacitación]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No incluye, salvo que se indique en la cotización: obra civil (rotura de muros, resanes, pintura), acometidas eléctricas, permisos ante terceros, ni equipos o servicios no descritos en el Anexo 1.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TERCERA. Valor.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valor total del contrato es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[valor en letras]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PESOS M/CTE ($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),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[IVA incluido / más IVA del 19 %]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 Cualquier trabajo adicional se cotizará por aparte y solo se ejecutará con aprobación escrita de EL CONTRATANTE (orden de cambio).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CUARTA. Forma de pago.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a) Anticipo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%: 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a la firma de este contrato, para la compra de equipos y materiales.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b) Saldo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%: 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contra entrega e instalación, a la firma del acta de entrega y recibo a satisfacción, dentro de los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siguientes a la presentación de la factura electrónica.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Los pagos se harán a la cuenta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[tipo]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N°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[número]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del banco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[banco]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a nombre de CENOVA S.A.S. Los pagos por pasarela tendrán los descuentos propios de esa plataforma.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QUINTA. Plazo.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trabajos se ejecutarán en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[número]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[hábiles / calendario]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contados desde el pago del anticipo y la disponibilidad del sitio. El plazo se ampliará por el tiempo que duren las demoras atribuibles a EL CONTRATANTE, a terceros o a fuerza mayor.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SEXTA. Obligaciones del contratista.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1) Ejecutar los trabajos con personal idóneo y con las normas técnicas y de seguridad aplicables, incluido el trabajo en alturas cuando corresponda. 2) Suministrar equipos nuevos y con garantía del fabricante. 3) Mantener el sitio ordenado y retirar los residuos de la instalación. 4) Entregar el sistema probado, configurado y con capacitación básica al usuario. 5) Responder por la afiliación y los pagos a seguridad social de su personal.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SÉPTIMA. Obligaciones del contratante.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1) Pagar el valor en los plazos acordados. 2) Dar acceso al sitio en los horarios convenidos y designar una persona de contacto. 3) Tener disponibles los puntos eléctricos, el internet y las condiciones locativas necesarias. 4) Obtener los permisos de copropiedad o de terceros que se requieran. 5) Informar por escrito cualquier cambio en el alcance.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OCTAVA. Entrega y recibo.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Terminados los trabajos se firmará el acta de entrega y recibo a satisfacción (formato CNV-FR-02). Si EL CONTRATANTE no firma ni presenta observaciones por escrito dentro de los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hábiles siguientes a la entrega, los trabajos se entenderán recibidos a satisfacción.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NOVENA. Garantía.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equipos tienen la garantía del fabricante por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[12]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 por defectos de fábrica. La mano de obra tiene garantía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[6]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meses. La garantía no cubre daños por mal uso, variaciones eléctricas, humedad, manipulación de terceros o causas externas.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DÉCIMA. Reserva de dominio.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equipos y materiales suministrados serán propiedad de EL CONTRATISTA hasta que EL CONTRATANTE pague la totalidad del precio (artículo 952 del Código de Comercio).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UNDÉCIMA. Datos personales e imágenes.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Si el sistema capta imágenes o datos personales, EL CONTRATANTE es el responsable de su tratamiento conforme a la Ley 1581 de 2012 y a sus decretos reglamentarios, incluido el aviso de videovigilancia. EL CONTRATISTA solo accederá a esa información para fines de instalación y soporte, y guardará reserva sobre ella.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DUODÉCIMA. Terminación.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contrato termina por cumplimiento del objeto, por mutuo acuerdo o por incumplimiento grave de una de las partes, previo aviso escrito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hábiles para corregirlo. Si EL CONTRATANTE termina el contrato sin justa causa, pagará los trabajos ejecutados y los equipos ya adquiridos para la obra.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DECIMOTERCERA. Solución de controversias.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Las diferencias se resolverán primero por arreglo directo durante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[15]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días; si no hay acuerdo, se acudirá a la conciliación en un centro de conciliación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[Cartagena]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y, de no lograrse, a la justicia ordinaria.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DECIMOCUARTA. Mérito ejecutivo y domicilio.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Este contrato presta mérito ejecutivo para exigir las obligaciones de pago. Para todos los efectos, el domicilio contractual es la ciudad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[Cartagena]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 Las notificaciones se enviarán a los correos indicados al inicio.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DECIMOQUINTA. Perfeccionamiento.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contrato se perfecciona con la firma de las partes y forman parte de él la cotización (Anexo 1) y las órdenes de cambio aprobadas.</w:t>
      </w:r>
    </w:p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Para constancia se firma en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[Ciudad]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el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en dos ejemplares del mismo valor.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CONTRATANTE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/ NIT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CONTRATISTA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Representante legal · NIT 902.114.180-1</w:t>
            </w: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Formato de referencia. Antes de firmar un contrato de valor alto o con condiciones especiales, revíselo con un abogado.</w:t>
      </w:r>
    </w:p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CNV-FR-04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prestación de servicios e instalación</dc:title>
  <dc:creator>Cenova S.A.S.</dc:creator>
  <dc:description>Formato CNV-FR-04 de Cenova S.A.S.</dc:description>
  <cp:lastModifiedBy>Un-named</cp:lastModifiedBy>
  <cp:revision>1</cp:revision>
  <dcterms:created xsi:type="dcterms:W3CDTF">2026-10-09T18:17:57.911Z</dcterms:created>
  <dcterms:modified xsi:type="dcterms:W3CDTF">2026-10-09T18:17:57.911Z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