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Acuerdo de vinculación de socio gestor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CNV-FR-14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Acuerdo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SG-003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Coordinador Comercial y Administrativo · Jorge Cantillo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LA SOCIEDAD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Aprobado en: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Acta de asamblea N° 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SOCIO GESTOR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Nombre: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Jorge Luis Cantillo Martínez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C.C.: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1.143.395.631 de Cartagena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Cargo: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Coordinador Comercial y Administrativo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Acciones: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120 (20 %)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Castellana Sky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+57 300 697 7756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jcantillo@cenovasas.com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Entre CENOVA S.A.S. (LA SOCIEDAD), representada por su Gerente General y Representante Legal, y el accionista identificado arriba (EL SOCIO GESTOR), se celebra este acuerdo para dejar por escrito su cargo, sus funciones y las reglas internas que aplican, con las siguientes cláusulas: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PRIMERA.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ejerce el cargo de Coordinador Comercial y Administrativo de CENOVA S.A.S., designado por la asamblea de accionistas. Reporta a la Gerencia General y trabaja en coordinación con la otra dirección.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SEGUNDA. Funciones.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Tiene a su cargo: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Buscar clientes nuevos y atender a los actuales: visitas, llamadas, correos y redes.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Armar y enviar las cotizaciones a tiempo, con costos completos, y hacerles seguimiento hasta su aprobación o rechazo.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Registrar en la intranet clientes, cotizaciones, órdenes de compra y su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Acordar con el cliente las condiciones comerciales: anticipo, plazos de pago y fecha de inicio.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Hacer el seguimiento a la cartera y apoyar el cobro de los saldos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Apoyar la parte administrativa: documentos de clientes y proveedores, contratos, archivo y entrega contable mensual (CNV-FR-10).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Cuidar la imagen de la marca: sitio web, tienda virtual, presentaciones y redes.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Proponer cada trimestre metas comerciales y reportar su resultado.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TERCERA. Dedicación.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dedicará al cargo el tiempo que requieran los proyectos y clientes a su cargo, sin perjuicio de sus otras actividades, y participará en la reunión semanal de seguimiento. Cuando no pueda atender un compromiso, avisará con anticipación para que otro socio lo cubra.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CUARTA. Representación.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no es representante legal. Puede firmar cotizaciones, actas de entrega y documentos operativos de su área; los contratos, las órdenes de compra a proveedores y los pagos los firma o aprueba la Gerencia General, según los estatutos.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QUINTA. Naturaleza del vínculo.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presta sus servicios en su calidad de accionista y por decisión propia, para el desarrollo de la empresa de la que es dueño en parte. Este acuerdo no crea un contrato de trabajo: no hay salario, subordinación laboral ni horario impuesto, y no se causan prestaciones sociales.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Si en el futuro la asamblea decide pagarle un salario u honorarios por el cargo, se firmará el contrato que corresponda y este acuerdo se ajustará por escrito.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SEXTA. Remuneración y beneficio económico.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cargo no tiene remuneración fija. EL SOCIO GESTOR recibe el beneficio de su trabajo a través de las utilidades que la asamblea decrete, en proporción a sus acciones, según los estatutos.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Cenova le reembolsará los gastos en que incurra por cuenta de la empresa (transporte a obras, compras urgentes, trámites), siempre que estén aprobados según las políticas internas y tengan soporte. Los reembolsos se registran en Finanzas de la intranet.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SÉPTIMA. Seguridad social.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Como no hay relación laboral, EL SOCIO GESTOR mantiene por su cuenta su afiliación a salud y pensión. Para las visitas y trabajos en obra debe estar afiliado a riesgos laborales (ARL) en el nivel de riesgo que corresponda, y presentar el soporte cuando la empresa lo pida.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OCTAVA. Desempeño.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cumplirá las metas de su cargo que se fijen cada trimestre, según el Manual de desempeño y salida de socios gestores (formato CNV-FR-15), y participará en la evaluación trimestral (formato CNV-FR-16).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NOVENA. Deberes como administrador.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En lo que le corresponda como administrador, EL SOCIO GESTOR obrará de buena fe, con lealtad y con la diligencia de un buen hombre de negocios, en interés de la sociedad y de todos sus accionistas, conforme al artículo 23 de la Ley 222 de 1995.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DÉCIMA. Retiro del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puede renunciar al cargo con un aviso escrito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días. La asamblea puede retirarlo del cargo por las causas y con el procedimiento del Manual (CNV-FR-15). En ambos casos hará la entrega formal del cargo con el acta CNV-FR-17.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Dejar el cargo no le quita su calidad de accionista ni sus acciones; la venta o transferencia de acciones se rige por los estatutos y por el acuerdo de accionistas, si existe.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UNDÉCIMA. Vigencia.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Este acuerdo rige desde su firma y por término indefinido, mientras EL SOCIO GESTOR ocupe el cargo. Cualquier cambio se hará por escrito y firmado por las partes.</w:t>
      </w:r>
    </w:p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Para constancia se firma en Cartagena, el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Por LA SOCIEDAD · Gerente General y Representante Legal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1.048.457.725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Jorge Luis Cantillo Martínez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SOCIO GESTOR · Coordinador Comercial y Administrativo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1.143.395.631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CNV-FR-14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vinculación — Coordinador Comercial y Administrativo</dc:title>
  <dc:creator>Cenova S.A.S.</dc:creator>
  <dc:description>Formato CNV-FR-14 de Cenova S.A.S.</dc:description>
  <cp:lastModifiedBy>Un-named</cp:lastModifiedBy>
  <cp:revision>1</cp:revision>
  <dcterms:created xsi:type="dcterms:W3CDTF">2026-10-15T21:16:20.774Z</dcterms:created>
  <dcterms:modified xsi:type="dcterms:W3CDTF">2026-10-15T21:16:20.774Z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