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680"/>
        <w:gridCol w:w="3400"/>
      </w:tblGrid>
      <w:tr>
        <w:tc>
          <w:tcPr>
            <w:tcW w:type="dxa" w:w="6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bottom"/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b/>
                <w:bCs/>
                <w:color w:val="173A73"/>
                <w:sz w:val="38"/>
                <w:szCs w:val="38"/>
              </w:rPr>
              <w:t xml:space="preserve">Manual de desempeño y salida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tbl>
            <w:tblPr>
              <w:tblW w:type="dxa" w:w="3400"/>
              <w:tblBorders>
                <w:top w:val="single" w:color="CFE0F5" w:sz="4"/>
                <w:left w:val="single" w:color="CFE0F5" w:sz="4"/>
                <w:bottom w:val="single" w:color="CFE0F5" w:sz="4"/>
                <w:right w:val="single" w:color="CFE0F5" w:sz="4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500"/>
              <w:gridCol w:w="1900"/>
            </w:tblGrid>
            <w:tr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EF4FC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Arial" w:cs="Arial" w:eastAsia="Arial" w:hAnsi="Arial"/>
                      <w:color w:val="5B6B80"/>
                      <w:sz w:val="16"/>
                      <w:szCs w:val="16"/>
                    </w:rPr>
                    <w:t xml:space="preserve">Código</w:t>
                  </w:r>
                </w:p>
              </w:tc>
              <w:tc>
                <w:tcPr>
                  <w:tcW w:type="dxa" w:w="1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EF4FC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0" w:line="252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73A73"/>
                      <w:sz w:val="16"/>
                      <w:szCs w:val="16"/>
                    </w:rPr>
                    <w:t xml:space="preserve">CNV-FR-15</w:t>
                  </w:r>
                </w:p>
              </w:tc>
            </w:tr>
            <w:tr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Arial" w:cs="Arial" w:eastAsia="Arial" w:hAnsi="Arial"/>
                      <w:color w:val="5B6B80"/>
                      <w:sz w:val="16"/>
                      <w:szCs w:val="16"/>
                    </w:rPr>
                    <w:t xml:space="preserve">Manual</w:t>
                  </w:r>
                </w:p>
              </w:tc>
              <w:tc>
                <w:tcPr>
                  <w:tcW w:type="dxa" w:w="1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0" w:line="252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73A73"/>
                      <w:sz w:val="16"/>
                      <w:szCs w:val="16"/>
                    </w:rPr>
                    <w:t xml:space="preserve">POL-01</w:t>
                  </w:r>
                </w:p>
              </w:tc>
            </w:tr>
            <w:tr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EF4FC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Arial" w:cs="Arial" w:eastAsia="Arial" w:hAnsi="Arial"/>
                      <w:color w:val="5B6B80"/>
                      <w:sz w:val="16"/>
                      <w:szCs w:val="16"/>
                    </w:rPr>
                    <w:t xml:space="preserve">Fecha</w:t>
                  </w:r>
                </w:p>
              </w:tc>
              <w:tc>
                <w:tcPr>
                  <w:tcW w:type="dxa" w:w="1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EF4FC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0" w:line="252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73A73"/>
                      <w:sz w:val="16"/>
                      <w:szCs w:val="16"/>
                      <w:shd w:fill="FFF7D6" w:color="auto" w:val="clear"/>
                    </w:rPr>
                    <w:t xml:space="preserve">[dd/mm/aaaa]</w:t>
                  </w:r>
                </w:p>
              </w:tc>
            </w:tr>
            <w:tr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Arial" w:cs="Arial" w:eastAsia="Arial" w:hAnsi="Arial"/>
                      <w:color w:val="5B6B80"/>
                      <w:sz w:val="16"/>
                      <w:szCs w:val="16"/>
                    </w:rPr>
                    <w:t xml:space="preserve">Versión</w:t>
                  </w:r>
                </w:p>
              </w:tc>
              <w:tc>
                <w:tcPr>
                  <w:tcW w:type="dxa" w:w="1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0" w:line="252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73A73"/>
                      <w:sz w:val="16"/>
                      <w:szCs w:val="16"/>
                    </w:rPr>
                    <w:t xml:space="preserve">1</w:t>
                  </w:r>
                </w:p>
              </w:tc>
            </w:tr>
          </w:tbl>
          <w:p/>
        </w:tc>
      </w:tr>
    </w:tbl>
    <w:p>
      <w:pPr>
        <w:pBdr>
          <w:top w:val="single" w:color="EAF1FB" w:sz="18" w:space="4"/>
          <w:left w:val="single" w:color="EAF1FB" w:sz="18" w:space="6"/>
          <w:bottom w:val="single" w:color="EAF1FB" w:sz="18" w:space="4"/>
          <w:right w:val="single" w:color="EAF1FB" w:sz="18" w:space="6"/>
        </w:pBdr>
        <w:shd w:fill="EAF1FB" w:color="auto" w:val="clear"/>
        <w:spacing w:after="200" w:before="200"/>
        <w:ind w:left="130" w:right="130"/>
      </w:pPr>
      <w:r>
        <w:rPr>
          <w:rFonts w:ascii="Arial" w:cs="Arial" w:eastAsia="Arial" w:hAnsi="Arial"/>
          <w:b/>
          <w:bCs/>
          <w:color w:val="173A73"/>
          <w:sz w:val="21"/>
          <w:szCs w:val="21"/>
        </w:rPr>
        <w:t xml:space="preserve">Políticas internas para los socios que trabajan en Cenova</w:t>
      </w:r>
    </w:p>
    <w:p>
      <w:pPr>
        <w:keepNext/>
        <w:pBdr>
          <w:bottom w:val="single" w:color="CFE0F5" w:sz="6" w:space="3"/>
        </w:pBdr>
        <w:spacing w:after="100" w:before="240"/>
      </w:pPr>
      <w:r>
        <w:rPr>
          <w:rFonts w:ascii="Arial" w:cs="Arial" w:eastAsia="Arial" w:hAnsi="Arial"/>
          <w:b/>
          <w:bCs/>
          <w:color w:val="173A73"/>
          <w:spacing w:val="10"/>
          <w:sz w:val="19"/>
          <w:szCs w:val="19"/>
        </w:rPr>
        <w:t xml:space="preserve">1. OBJETO Y ALCANCE</w:t>
      </w:r>
    </w:p>
    <w:p>
      <w:pPr>
        <w:spacing w:after="120" w:before="0" w:line="288"/>
        <w:jc w:val="both"/>
      </w:pPr>
      <w:r>
        <w:rPr>
          <w:rFonts w:ascii="Arial" w:cs="Arial" w:eastAsia="Arial" w:hAnsi="Arial"/>
          <w:color w:val="16233A"/>
          <w:sz w:val="20"/>
          <w:szCs w:val="20"/>
        </w:rPr>
        <w:t xml:space="preserve">Este manual fija cómo se miden las metas de los socios que ocupan un cargo en CENOVA S.A.S. (Gerencia General, Coordinación Técnica y de Operaciones y Coordinación Comercial y Administrativa), qué pasa cuando no se cumplen y cómo se deja un cargo. Hace parte de los acuerdos de vinculación CNV-FR-12, 13 y 14. Aplica también a quien ocupe esos cargos en el futuro.</w:t>
      </w:r>
    </w:p>
    <w:p>
      <w:pPr>
        <w:keepNext/>
        <w:pBdr>
          <w:bottom w:val="single" w:color="CFE0F5" w:sz="6" w:space="3"/>
        </w:pBdr>
        <w:spacing w:after="100" w:before="240"/>
      </w:pPr>
      <w:r>
        <w:rPr>
          <w:rFonts w:ascii="Arial" w:cs="Arial" w:eastAsia="Arial" w:hAnsi="Arial"/>
          <w:b/>
          <w:bCs/>
          <w:color w:val="173A73"/>
          <w:spacing w:val="10"/>
          <w:sz w:val="19"/>
          <w:szCs w:val="19"/>
        </w:rPr>
        <w:t xml:space="preserve">2. PRINCIPIOS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A4A60"/>
          <w:sz w:val="20"/>
          <w:szCs w:val="20"/>
        </w:rPr>
        <w:t xml:space="preserve">Las metas se acuerdan entre los tres socios, son pocas, se pueden medir con la intranet y se revisan cada trimestre.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A4A60"/>
          <w:sz w:val="20"/>
          <w:szCs w:val="20"/>
        </w:rPr>
        <w:t xml:space="preserve">Las diferencias se hablan primero en la reunión semanal; lo escrito es para dejar constancia, no para castigar.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A4A60"/>
          <w:sz w:val="20"/>
          <w:szCs w:val="20"/>
        </w:rPr>
        <w:t xml:space="preserve">Ser socio y ocupar un cargo son cosas distintas: salir del cargo no afecta las acciones.</w:t>
      </w:r>
    </w:p>
    <w:p>
      <w:pPr>
        <w:keepNext/>
        <w:pBdr>
          <w:bottom w:val="single" w:color="CFE0F5" w:sz="6" w:space="3"/>
        </w:pBdr>
        <w:spacing w:after="100" w:before="240"/>
      </w:pPr>
      <w:r>
        <w:rPr>
          <w:rFonts w:ascii="Arial" w:cs="Arial" w:eastAsia="Arial" w:hAnsi="Arial"/>
          <w:b/>
          <w:bCs/>
          <w:color w:val="173A73"/>
          <w:spacing w:val="10"/>
          <w:sz w:val="19"/>
          <w:szCs w:val="19"/>
        </w:rPr>
        <w:t xml:space="preserve">3. METAS POR CARGO</w:t>
      </w:r>
    </w:p>
    <w:p>
      <w:pPr>
        <w:spacing w:after="120" w:before="0" w:line="288"/>
        <w:jc w:val="both"/>
      </w:pPr>
      <w:r>
        <w:rPr>
          <w:rFonts w:ascii="Arial" w:cs="Arial" w:eastAsia="Arial" w:hAnsi="Arial"/>
          <w:color w:val="16233A"/>
          <w:sz w:val="20"/>
          <w:szCs w:val="20"/>
        </w:rPr>
        <w:t xml:space="preserve">Cada trimestre, en la primera semana, los socios acuerdan el valor de cada meta. Estos son los indicadores de referencia y de dónde salen: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4580"/>
        <w:gridCol w:w="3200"/>
      </w:tblGrid>
      <w:tr>
        <w:trPr>
          <w:tblHeader/>
        </w:trPr>
        <w:tc>
          <w:tcPr>
            <w:tcW w:type="dxa" w:w="23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173A73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CARGO</w:t>
            </w:r>
          </w:p>
        </w:tc>
        <w:tc>
          <w:tcPr>
            <w:tcW w:type="dxa" w:w="458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173A73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INDICADOR</w:t>
            </w:r>
          </w:p>
        </w:tc>
        <w:tc>
          <w:tcPr>
            <w:tcW w:type="dxa" w:w="32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173A73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DÓNDE SE MIDE</w:t>
            </w:r>
          </w:p>
        </w:tc>
      </w:tr>
      <w:tr>
        <w:tc>
          <w:tcPr>
            <w:tcW w:type="dxa" w:w="23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</w:rPr>
              <w:t xml:space="preserve">Gerencia General</w:t>
            </w:r>
          </w:p>
        </w:tc>
        <w:tc>
          <w:tcPr>
            <w:tcW w:type="dxa" w:w="458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</w:rPr>
              <w:t xml:space="preserve">Margen real de las obras frente a la meta (30 %)</w:t>
            </w:r>
          </w:p>
        </w:tc>
        <w:tc>
          <w:tcPr>
            <w:tcW w:type="dxa" w:w="32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</w:rPr>
              <w:t xml:space="preserve">Costos → Costo real por obra</w:t>
            </w:r>
          </w:p>
        </w:tc>
      </w:tr>
      <w:tr>
        <w:tc>
          <w:tcPr>
            <w:tcW w:type="dxa" w:w="23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F6F9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</w:rPr>
              <w:t xml:space="preserve">Gerencia General</w:t>
            </w:r>
          </w:p>
        </w:tc>
        <w:tc>
          <w:tcPr>
            <w:tcW w:type="dxa" w:w="458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F6F9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</w:rPr>
              <w:t xml:space="preserve">Pagos, impuestos y obligaciones al día; cartera vencida</w:t>
            </w:r>
          </w:p>
        </w:tc>
        <w:tc>
          <w:tcPr>
            <w:tcW w:type="dxa" w:w="32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F6F9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</w:rPr>
              <w:t xml:space="preserve">Finanzas → Resumen</w:t>
            </w:r>
          </w:p>
        </w:tc>
      </w:tr>
      <w:tr>
        <w:tc>
          <w:tcPr>
            <w:tcW w:type="dxa" w:w="23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</w:rPr>
              <w:t xml:space="preserve">Gerencia General</w:t>
            </w:r>
          </w:p>
        </w:tc>
        <w:tc>
          <w:tcPr>
            <w:tcW w:type="dxa" w:w="458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</w:rPr>
              <w:t xml:space="preserve">Informe mensual a los socios y entrega contable a tiempo</w:t>
            </w:r>
          </w:p>
        </w:tc>
        <w:tc>
          <w:tcPr>
            <w:tcW w:type="dxa" w:w="32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</w:rPr>
              <w:t xml:space="preserve">Formatos (CNV-FR-10)</w:t>
            </w:r>
          </w:p>
        </w:tc>
      </w:tr>
      <w:tr>
        <w:tc>
          <w:tcPr>
            <w:tcW w:type="dxa" w:w="23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F6F9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</w:rPr>
              <w:t xml:space="preserve">Coord. Técnica y de Operaciones</w:t>
            </w:r>
          </w:p>
        </w:tc>
        <w:tc>
          <w:tcPr>
            <w:tcW w:type="dxa" w:w="458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F6F9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</w:rPr>
              <w:t xml:space="preserve">Obras entregadas en los días cotizados</w:t>
            </w:r>
          </w:p>
        </w:tc>
        <w:tc>
          <w:tcPr>
            <w:tcW w:type="dxa" w:w="32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F6F9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</w:rPr>
              <w:t xml:space="preserve">Estadísticas → Cumplimiento de días</w:t>
            </w:r>
          </w:p>
        </w:tc>
      </w:tr>
      <w:tr>
        <w:tc>
          <w:tcPr>
            <w:tcW w:type="dxa" w:w="23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</w:rPr>
              <w:t xml:space="preserve">Coord. Técnica y de Operaciones</w:t>
            </w:r>
          </w:p>
        </w:tc>
        <w:tc>
          <w:tcPr>
            <w:tcW w:type="dxa" w:w="458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</w:rPr>
              <w:t xml:space="preserve">Costo real frente al cotizado y materiales dañados</w:t>
            </w:r>
          </w:p>
        </w:tc>
        <w:tc>
          <w:tcPr>
            <w:tcW w:type="dxa" w:w="32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</w:rPr>
              <w:t xml:space="preserve">Costos / Estadísticas → Desvíos</w:t>
            </w:r>
          </w:p>
        </w:tc>
      </w:tr>
      <w:tr>
        <w:tc>
          <w:tcPr>
            <w:tcW w:type="dxa" w:w="23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F6F9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</w:rPr>
              <w:t xml:space="preserve">Coord. Técnica y de Operaciones</w:t>
            </w:r>
          </w:p>
        </w:tc>
        <w:tc>
          <w:tcPr>
            <w:tcW w:type="dxa" w:w="458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F6F9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</w:rPr>
              <w:t xml:space="preserve">Actas de entrega e informes firmados; cero accidentes</w:t>
            </w:r>
          </w:p>
        </w:tc>
        <w:tc>
          <w:tcPr>
            <w:tcW w:type="dxa" w:w="32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F6F9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</w:rPr>
              <w:t xml:space="preserve">Formatos (CNV-FR-01 y 02)</w:t>
            </w:r>
          </w:p>
        </w:tc>
      </w:tr>
      <w:tr>
        <w:tc>
          <w:tcPr>
            <w:tcW w:type="dxa" w:w="23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</w:rPr>
              <w:t xml:space="preserve">Coord. Comercial y Administrativa</w:t>
            </w:r>
          </w:p>
        </w:tc>
        <w:tc>
          <w:tcPr>
            <w:tcW w:type="dxa" w:w="458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</w:rPr>
              <w:t xml:space="preserve">Cotizaciones enviadas y tasa de aprobación</w:t>
            </w:r>
          </w:p>
        </w:tc>
        <w:tc>
          <w:tcPr>
            <w:tcW w:type="dxa" w:w="32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</w:rPr>
              <w:t xml:space="preserve">Estadísticas</w:t>
            </w:r>
          </w:p>
        </w:tc>
      </w:tr>
      <w:tr>
        <w:tc>
          <w:tcPr>
            <w:tcW w:type="dxa" w:w="23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F6F9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</w:rPr>
              <w:t xml:space="preserve">Coord. Comercial y Administrativa</w:t>
            </w:r>
          </w:p>
        </w:tc>
        <w:tc>
          <w:tcPr>
            <w:tcW w:type="dxa" w:w="458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F6F9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</w:rPr>
              <w:t xml:space="preserve">Tiempo de respuesta al cliente y seguimiento al día</w:t>
            </w:r>
          </w:p>
        </w:tc>
        <w:tc>
          <w:tcPr>
            <w:tcW w:type="dxa" w:w="32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F6F9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</w:rPr>
              <w:t xml:space="preserve">Cotizaciones / Agenda</w:t>
            </w:r>
          </w:p>
        </w:tc>
      </w:tr>
      <w:tr>
        <w:tc>
          <w:tcPr>
            <w:tcW w:type="dxa" w:w="23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</w:rPr>
              <w:t xml:space="preserve">Coord. Comercial y Administrativa</w:t>
            </w:r>
          </w:p>
        </w:tc>
        <w:tc>
          <w:tcPr>
            <w:tcW w:type="dxa" w:w="458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</w:rPr>
              <w:t xml:space="preserve">Cartera cobrada y clientes nuevos</w:t>
            </w:r>
          </w:p>
        </w:tc>
        <w:tc>
          <w:tcPr>
            <w:tcW w:type="dxa" w:w="32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</w:rPr>
              <w:t xml:space="preserve">Finanzas / Clientes</w:t>
            </w:r>
          </w:p>
        </w:tc>
      </w:tr>
    </w:tbl>
    <w:p>
      <w:pPr>
        <w:keepNext/>
        <w:pBdr>
          <w:bottom w:val="single" w:color="CFE0F5" w:sz="6" w:space="3"/>
        </w:pBdr>
        <w:spacing w:after="100" w:before="240"/>
      </w:pPr>
      <w:r>
        <w:rPr>
          <w:rFonts w:ascii="Arial" w:cs="Arial" w:eastAsia="Arial" w:hAnsi="Arial"/>
          <w:b/>
          <w:bCs/>
          <w:color w:val="173A73"/>
          <w:spacing w:val="10"/>
          <w:sz w:val="19"/>
          <w:szCs w:val="19"/>
        </w:rPr>
        <w:t xml:space="preserve">4. EVALUACIÓN TRIMESTRAL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3A4A60"/>
          <w:sz w:val="20"/>
          <w:szCs w:val="20"/>
        </w:rPr>
        <w:t xml:space="preserve">En la última semana del trimestre cada socio llena su autoevaluación en el formato CNV-FR-16 con los resultados de la intranet.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3A4A60"/>
          <w:sz w:val="20"/>
          <w:szCs w:val="20"/>
        </w:rPr>
        <w:t xml:space="preserve">Los tres socios se reúnen, revisan cada meta y califican: Cumple (100 % o más), Cumple parcialmente (70 % a 99 %) o No cumple (menos de 70 %).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3A4A60"/>
          <w:sz w:val="20"/>
          <w:szCs w:val="20"/>
        </w:rPr>
        <w:t xml:space="preserve">Se dejan escritos los logros, las causas de lo que no se cumplió (incluidas las que no dependen del socio) y los compromisos del siguiente trimestre.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3A4A60"/>
          <w:sz w:val="20"/>
          <w:szCs w:val="20"/>
        </w:rPr>
        <w:t xml:space="preserve">El formato firmado se guarda con las actas de la empresa.</w:t>
      </w:r>
    </w:p>
    <w:p>
      <w:pPr>
        <w:keepNext/>
        <w:pBdr>
          <w:bottom w:val="single" w:color="CFE0F5" w:sz="6" w:space="3"/>
        </w:pBdr>
        <w:spacing w:after="100" w:before="240"/>
      </w:pPr>
      <w:r>
        <w:rPr>
          <w:rFonts w:ascii="Arial" w:cs="Arial" w:eastAsia="Arial" w:hAnsi="Arial"/>
          <w:b/>
          <w:bCs/>
          <w:color w:val="173A73"/>
          <w:spacing w:val="10"/>
          <w:sz w:val="19"/>
          <w:szCs w:val="19"/>
        </w:rPr>
        <w:t xml:space="preserve">5. PLAN DE MEJORA</w:t>
      </w:r>
    </w:p>
    <w:p>
      <w:pPr>
        <w:spacing w:after="120" w:before="0" w:line="288"/>
        <w:jc w:val="both"/>
      </w:pPr>
      <w:r>
        <w:rPr>
          <w:rFonts w:ascii="Arial" w:cs="Arial" w:eastAsia="Arial" w:hAnsi="Arial"/>
          <w:color w:val="16233A"/>
          <w:sz w:val="20"/>
          <w:szCs w:val="20"/>
        </w:rPr>
        <w:t xml:space="preserve">Si un socio tiene "No cumple" en la mayoría de sus metas en un trimestre, o en la misma meta dos trimestres seguidos, se acuerda por escrito un plan de mejora de </w:t>
      </w:r>
      <w:r>
        <w:rPr>
          <w:rFonts w:ascii="Arial" w:cs="Arial" w:eastAsia="Arial" w:hAnsi="Arial"/>
          <w:color w:val="16233A"/>
          <w:sz w:val="20"/>
          <w:szCs w:val="20"/>
          <w:shd w:fill="FFF7D6" w:color="auto" w:val="clear"/>
        </w:rPr>
        <w:t xml:space="preserve">[60]</w:t>
      </w:r>
      <w:r>
        <w:rPr>
          <w:rFonts w:ascii="Arial" w:cs="Arial" w:eastAsia="Arial" w:hAnsi="Arial"/>
          <w:color w:val="16233A"/>
          <w:sz w:val="20"/>
          <w:szCs w:val="20"/>
        </w:rPr>
        <w:t xml:space="preserve"> días con acciones concretas, apoyo de los demás socios y fechas de revisión. Si las causas son externas (mercado, clientes, salud), se ajustan las metas en vez de abrir un plan de mejora.</w:t>
      </w:r>
    </w:p>
    <w:p>
      <w:pPr>
        <w:keepNext/>
        <w:pBdr>
          <w:bottom w:val="single" w:color="CFE0F5" w:sz="6" w:space="3"/>
        </w:pBdr>
        <w:spacing w:after="100" w:before="240"/>
      </w:pPr>
      <w:r>
        <w:rPr>
          <w:rFonts w:ascii="Arial" w:cs="Arial" w:eastAsia="Arial" w:hAnsi="Arial"/>
          <w:b/>
          <w:bCs/>
          <w:color w:val="173A73"/>
          <w:spacing w:val="10"/>
          <w:sz w:val="19"/>
          <w:szCs w:val="19"/>
        </w:rPr>
        <w:t xml:space="preserve">6. FALTAS</w:t>
      </w:r>
    </w:p>
    <w:p>
      <w:pPr>
        <w:spacing w:after="120" w:before="0" w:line="288"/>
        <w:jc w:val="both"/>
      </w:pPr>
      <w:r>
        <w:rPr>
          <w:rFonts w:ascii="Arial" w:cs="Arial" w:eastAsia="Arial" w:hAnsi="Arial"/>
          <w:color w:val="16233A"/>
          <w:sz w:val="20"/>
          <w:szCs w:val="20"/>
        </w:rPr>
        <w:t xml:space="preserve">Se consideran faltas en el ejercicio del cargo: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8380"/>
      </w:tblGrid>
      <w:tr>
        <w:trPr>
          <w:tblHeader/>
        </w:trPr>
        <w:tc>
          <w:tcPr>
            <w:tcW w:type="dxa" w:w="17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173A73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TIPO</w:t>
            </w:r>
          </w:p>
        </w:tc>
        <w:tc>
          <w:tcPr>
            <w:tcW w:type="dxa" w:w="838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173A73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EJEMPLOS</w:t>
            </w:r>
          </w:p>
        </w:tc>
      </w:tr>
      <w:tr>
        <w:tc>
          <w:tcPr>
            <w:tcW w:type="dxa" w:w="17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</w:rPr>
              <w:t xml:space="preserve">Leve</w:t>
            </w:r>
          </w:p>
        </w:tc>
        <w:tc>
          <w:tcPr>
            <w:tcW w:type="dxa" w:w="838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</w:rPr>
              <w:t xml:space="preserve">Incumplir compromisos de la reunión semanal sin avisar; no registrar en la intranet lo de su área; retrasos repetidos en la respuesta a clientes.</w:t>
            </w:r>
          </w:p>
        </w:tc>
      </w:tr>
      <w:tr>
        <w:tc>
          <w:tcPr>
            <w:tcW w:type="dxa" w:w="17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F6F9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</w:rPr>
              <w:t xml:space="preserve">Grave</w:t>
            </w:r>
          </w:p>
        </w:tc>
        <w:tc>
          <w:tcPr>
            <w:tcW w:type="dxa" w:w="838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F6F9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</w:rPr>
              <w:t xml:space="preserve">Comprometer a la empresa por encima de sus facultades; ocultar información de clientes, costos o pagos; usar recursos de la empresa para fines personales; tratar mal a clientes, proveedores o personal.</w:t>
            </w:r>
          </w:p>
        </w:tc>
      </w:tr>
      <w:tr>
        <w:tc>
          <w:tcPr>
            <w:tcW w:type="dxa" w:w="17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</w:rPr>
              <w:t xml:space="preserve">Muy grave</w:t>
            </w:r>
          </w:p>
        </w:tc>
        <w:tc>
          <w:tcPr>
            <w:tcW w:type="dxa" w:w="838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</w:rPr>
              <w:t xml:space="preserve">Hacer trabajos para clientes de Cenova por su cuenta; apropiarse de dinero, equipos o información; actos que dañen gravemente la reputación de la empresa.</w:t>
            </w:r>
          </w:p>
        </w:tc>
      </w:tr>
    </w:tbl>
    <w:p>
      <w:pPr>
        <w:spacing w:after="120" w:before="100" w:line="288"/>
        <w:jc w:val="both"/>
      </w:pPr>
      <w:r>
        <w:rPr>
          <w:rFonts w:ascii="Arial" w:cs="Arial" w:eastAsia="Arial" w:hAnsi="Arial"/>
          <w:color w:val="16233A"/>
          <w:sz w:val="20"/>
          <w:szCs w:val="20"/>
        </w:rPr>
        <w:t xml:space="preserve">Procedimiento: (a) llamado de atención escrito que describe los hechos; (b) el socio presenta sus explicaciones por escrito dentro de </w:t>
      </w:r>
      <w:r>
        <w:rPr>
          <w:rFonts w:ascii="Arial" w:cs="Arial" w:eastAsia="Arial" w:hAnsi="Arial"/>
          <w:color w:val="16233A"/>
          <w:sz w:val="20"/>
          <w:szCs w:val="20"/>
          <w:shd w:fill="FFF7D6" w:color="auto" w:val="clear"/>
        </w:rPr>
        <w:t xml:space="preserve">[5]</w:t>
      </w:r>
      <w:r>
        <w:rPr>
          <w:rFonts w:ascii="Arial" w:cs="Arial" w:eastAsia="Arial" w:hAnsi="Arial"/>
          <w:color w:val="16233A"/>
          <w:sz w:val="20"/>
          <w:szCs w:val="20"/>
        </w:rPr>
        <w:t xml:space="preserve"> días hábiles; (c) los demás socios deciden y dejan constancia. Las faltas leves se manejan con compromisos; dos faltas graves en un año o una muy grave pueden dar lugar al retiro del cargo. Nada de esto limita las acciones legales que procedan.</w:t>
      </w:r>
    </w:p>
    <w:p>
      <w:pPr>
        <w:keepNext/>
        <w:pBdr>
          <w:bottom w:val="single" w:color="CFE0F5" w:sz="6" w:space="3"/>
        </w:pBdr>
        <w:spacing w:after="100" w:before="240"/>
      </w:pPr>
      <w:r>
        <w:rPr>
          <w:rFonts w:ascii="Arial" w:cs="Arial" w:eastAsia="Arial" w:hAnsi="Arial"/>
          <w:b/>
          <w:bCs/>
          <w:color w:val="173A73"/>
          <w:spacing w:val="10"/>
          <w:sz w:val="19"/>
          <w:szCs w:val="19"/>
        </w:rPr>
        <w:t xml:space="preserve">7. RETIRO DEL CARGO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0"/>
        <w:gridCol w:w="7580"/>
      </w:tblGrid>
      <w:tr>
        <w:trPr>
          <w:tblHeader/>
        </w:trPr>
        <w:tc>
          <w:tcPr>
            <w:tcW w:type="dxa" w:w="25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173A73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CAUSA</w:t>
            </w:r>
          </w:p>
        </w:tc>
        <w:tc>
          <w:tcPr>
            <w:tcW w:type="dxa" w:w="758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173A73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CÓMO SE HACE</w:t>
            </w:r>
          </w:p>
        </w:tc>
      </w:tr>
      <w:tr>
        <w:tc>
          <w:tcPr>
            <w:tcW w:type="dxa" w:w="25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</w:rPr>
              <w:t xml:space="preserve">Renuncia</w:t>
            </w:r>
          </w:p>
        </w:tc>
        <w:tc>
          <w:tcPr>
            <w:tcW w:type="dxa" w:w="758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</w:rPr>
              <w:t xml:space="preserve">Aviso escrito a los demás socios con </w:t>
            </w:r>
            <w:r>
              <w:rPr>
                <w:rFonts w:ascii="Arial" w:cs="Arial" w:eastAsia="Arial" w:hAnsi="Arial"/>
                <w:color w:val="16233A"/>
                <w:sz w:val="18"/>
                <w:szCs w:val="18"/>
                <w:shd w:fill="FFF7D6" w:color="auto" w:val="clear"/>
              </w:rPr>
              <w:t xml:space="preserve">[30]</w:t>
            </w:r>
            <w:r>
              <w:rPr>
                <w:rFonts w:ascii="Arial" w:cs="Arial" w:eastAsia="Arial" w:hAnsi="Arial"/>
                <w:color w:val="16233A"/>
                <w:sz w:val="18"/>
                <w:szCs w:val="18"/>
              </w:rPr>
              <w:t xml:space="preserve"> días de anticipación, salvo que acuerden un plazo menor.</w:t>
            </w:r>
          </w:p>
        </w:tc>
      </w:tr>
      <w:tr>
        <w:tc>
          <w:tcPr>
            <w:tcW w:type="dxa" w:w="25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F6F9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</w:rPr>
              <w:t xml:space="preserve">Decisión de la asamblea</w:t>
            </w:r>
          </w:p>
        </w:tc>
        <w:tc>
          <w:tcPr>
            <w:tcW w:type="dxa" w:w="758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F6F9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</w:rPr>
              <w:t xml:space="preserve">Por falta grave o muy grave, por incumplir un plan de mejora o por reorganización de la empresa. Se decide en asamblea con la mayoría de los estatutos y se le informa por escrito con las razones.</w:t>
            </w:r>
          </w:p>
        </w:tc>
      </w:tr>
      <w:tr>
        <w:tc>
          <w:tcPr>
            <w:tcW w:type="dxa" w:w="25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</w:rPr>
              <w:t xml:space="preserve">Imposibilidad</w:t>
            </w:r>
          </w:p>
        </w:tc>
        <w:tc>
          <w:tcPr>
            <w:tcW w:type="dxa" w:w="758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</w:rPr>
              <w:t xml:space="preserve">Incapacidad prolongada, fallecimiento u otra causa que impida ejercer el cargo. Los demás socios asumen las funciones mientras se nombra reemplazo.</w:t>
            </w:r>
          </w:p>
        </w:tc>
      </w:tr>
    </w:tbl>
    <w:p>
      <w:pPr>
        <w:spacing w:after="120" w:before="100" w:line="288"/>
        <w:jc w:val="both"/>
      </w:pPr>
      <w:r>
        <w:rPr>
          <w:rFonts w:ascii="Arial" w:cs="Arial" w:eastAsia="Arial" w:hAnsi="Arial"/>
          <w:color w:val="16233A"/>
          <w:sz w:val="20"/>
          <w:szCs w:val="20"/>
        </w:rPr>
        <w:t xml:space="preserve">Si quien sale es el Representante Legal, la asamblea nombra de inmediato su reemplazo y se inscribe el cambio en la Cámara de Comercio; mientras tanto actúa el suplente, si los estatutos lo prevén.</w:t>
      </w:r>
    </w:p>
    <w:p>
      <w:pPr>
        <w:keepNext/>
        <w:pBdr>
          <w:bottom w:val="single" w:color="CFE0F5" w:sz="6" w:space="3"/>
        </w:pBdr>
        <w:spacing w:after="100" w:before="240"/>
      </w:pPr>
      <w:r>
        <w:rPr>
          <w:rFonts w:ascii="Arial" w:cs="Arial" w:eastAsia="Arial" w:hAnsi="Arial"/>
          <w:b/>
          <w:bCs/>
          <w:color w:val="173A73"/>
          <w:spacing w:val="10"/>
          <w:sz w:val="19"/>
          <w:szCs w:val="19"/>
        </w:rPr>
        <w:t xml:space="preserve">8. ENTREGA DEL CARGO</w:t>
      </w:r>
    </w:p>
    <w:p>
      <w:pPr>
        <w:spacing w:after="120" w:before="0" w:line="288"/>
        <w:jc w:val="both"/>
      </w:pPr>
      <w:r>
        <w:rPr>
          <w:rFonts w:ascii="Arial" w:cs="Arial" w:eastAsia="Arial" w:hAnsi="Arial"/>
          <w:color w:val="16233A"/>
          <w:sz w:val="20"/>
          <w:szCs w:val="20"/>
        </w:rPr>
        <w:t xml:space="preserve">Dentro de los </w:t>
      </w:r>
      <w:r>
        <w:rPr>
          <w:rFonts w:ascii="Arial" w:cs="Arial" w:eastAsia="Arial" w:hAnsi="Arial"/>
          <w:color w:val="16233A"/>
          <w:sz w:val="20"/>
          <w:szCs w:val="20"/>
          <w:shd w:fill="FFF7D6" w:color="auto" w:val="clear"/>
        </w:rPr>
        <w:t xml:space="preserve">[10]</w:t>
      </w:r>
      <w:r>
        <w:rPr>
          <w:rFonts w:ascii="Arial" w:cs="Arial" w:eastAsia="Arial" w:hAnsi="Arial"/>
          <w:color w:val="16233A"/>
          <w:sz w:val="20"/>
          <w:szCs w:val="20"/>
        </w:rPr>
        <w:t xml:space="preserve"> días hábiles siguientes a la salida, el socio entrega el cargo con el acta CNV-FR-17, que incluye como mínimo: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A4A60"/>
          <w:sz w:val="20"/>
          <w:szCs w:val="20"/>
        </w:rPr>
        <w:t xml:space="preserve">Usuarios y contraseñas de la intranet, correos, redes, tienda, proveedores y plataformas; se cambian el mismo día.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A4A60"/>
          <w:sz w:val="20"/>
          <w:szCs w:val="20"/>
        </w:rPr>
        <w:t xml:space="preserve">Firmas y permisos en bancos, pasarela de pago, DIAN y Cámara de Comercio (en el caso de la Gerencia).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A4A60"/>
          <w:sz w:val="20"/>
          <w:szCs w:val="20"/>
        </w:rPr>
        <w:t xml:space="preserve">Cotizaciones, clientes y obras en curso con su estado y los compromisos pendientes con cada uno.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A4A60"/>
          <w:sz w:val="20"/>
          <w:szCs w:val="20"/>
        </w:rPr>
        <w:t xml:space="preserve">Dinero, tarjetas, equipos, herramientas, materiales y documentos de la empresa que tenga en su poder.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A4A60"/>
          <w:sz w:val="20"/>
          <w:szCs w:val="20"/>
        </w:rPr>
        <w:t xml:space="preserve">Archivos digitales de la empresa (planos, fotos, contratos, bases de datos); no puede quedarse con copias.</w:t>
      </w:r>
    </w:p>
    <w:p>
      <w:pPr>
        <w:keepNext/>
        <w:pBdr>
          <w:bottom w:val="single" w:color="CFE0F5" w:sz="6" w:space="3"/>
        </w:pBdr>
        <w:spacing w:after="100" w:before="240"/>
      </w:pPr>
      <w:r>
        <w:rPr>
          <w:rFonts w:ascii="Arial" w:cs="Arial" w:eastAsia="Arial" w:hAnsi="Arial"/>
          <w:b/>
          <w:bCs/>
          <w:color w:val="173A73"/>
          <w:spacing w:val="10"/>
          <w:sz w:val="19"/>
          <w:szCs w:val="19"/>
        </w:rPr>
        <w:t xml:space="preserve">9. DESPUÉS DE LA SALIDA</w:t>
      </w:r>
    </w:p>
    <w:p>
      <w:pPr>
        <w:spacing w:after="120" w:before="0" w:line="288"/>
        <w:jc w:val="both"/>
      </w:pPr>
      <w:r>
        <w:rPr>
          <w:rFonts w:ascii="Arial" w:cs="Arial" w:eastAsia="Arial" w:hAnsi="Arial"/>
          <w:color w:val="16233A"/>
          <w:sz w:val="20"/>
          <w:szCs w:val="20"/>
        </w:rPr>
        <w:t xml:space="preserve">El socio que deja el cargo sigue siendo accionista, con los derechos de los estatutos. Guardará reserva de la información de la empresa y de sus clientes. Si decide vender sus acciones, se aplica el derecho de preferencia de los demás accionistas previsto en los estatutos o en el acuerdo de accionistas.</w:t>
      </w:r>
    </w:p>
    <w:p>
      <w:pPr>
        <w:keepNext/>
        <w:pBdr>
          <w:bottom w:val="single" w:color="CFE0F5" w:sz="6" w:space="3"/>
        </w:pBdr>
        <w:spacing w:after="100" w:before="240"/>
      </w:pPr>
      <w:r>
        <w:rPr>
          <w:rFonts w:ascii="Arial" w:cs="Arial" w:eastAsia="Arial" w:hAnsi="Arial"/>
          <w:b/>
          <w:bCs/>
          <w:color w:val="173A73"/>
          <w:spacing w:val="10"/>
          <w:sz w:val="19"/>
          <w:szCs w:val="19"/>
        </w:rPr>
        <w:t xml:space="preserve">10. VIGENCIA Y CAMBIOS</w:t>
      </w:r>
    </w:p>
    <w:p>
      <w:pPr>
        <w:spacing w:after="120" w:before="0" w:line="288"/>
        <w:jc w:val="both"/>
      </w:pPr>
      <w:r>
        <w:rPr>
          <w:rFonts w:ascii="Arial" w:cs="Arial" w:eastAsia="Arial" w:hAnsi="Arial"/>
          <w:color w:val="16233A"/>
          <w:sz w:val="20"/>
          <w:szCs w:val="20"/>
        </w:rPr>
        <w:t xml:space="preserve">Este manual rige desde que lo firmen los tres socios. Se puede cambiar por acuerdo escrito de los socios o por decisión de la asamblea, y cada cambio queda con nueva versión y fecha.</w:t>
      </w:r>
    </w:p>
    <w:p>
      <w:pPr>
        <w:keepNext/>
        <w:pBdr>
          <w:bottom w:val="single" w:color="CFE0F5" w:sz="6" w:space="3"/>
        </w:pBdr>
        <w:spacing w:after="100" w:before="240"/>
      </w:pPr>
      <w:r>
        <w:rPr>
          <w:rFonts w:ascii="Arial" w:cs="Arial" w:eastAsia="Arial" w:hAnsi="Arial"/>
          <w:b/>
          <w:bCs/>
          <w:color w:val="173A73"/>
          <w:spacing w:val="10"/>
          <w:sz w:val="19"/>
          <w:szCs w:val="19"/>
        </w:rPr>
        <w:t xml:space="preserve">FIRMAS DE CONOCIMIENTO Y ACEPTACIÓN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650"/>
            </w:pPr>
          </w:p>
          <w:p>
            <w:pPr>
              <w:pBdr>
                <w:top w:val="single" w:color="173A73" w:sz="8" w:space="1"/>
              </w:pBdr>
              <w:spacing w:after="40"/>
              <w:ind w:left="200" w:right="200"/>
            </w:pP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6233A"/>
                <w:sz w:val="18"/>
                <w:szCs w:val="18"/>
              </w:rPr>
              <w:t xml:space="preserve">Lina María Giraldo Chaverra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color w:val="5B6B80"/>
                <w:sz w:val="16"/>
                <w:szCs w:val="16"/>
              </w:rPr>
              <w:t xml:space="preserve">Gerente General y Representante Legal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color w:val="5B6B80"/>
                <w:sz w:val="16"/>
                <w:szCs w:val="16"/>
              </w:rPr>
              <w:t xml:space="preserve">C.C. 1.048.457.725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650"/>
            </w:pPr>
          </w:p>
          <w:p>
            <w:pPr>
              <w:pBdr>
                <w:top w:val="single" w:color="173A73" w:sz="8" w:space="1"/>
              </w:pBdr>
              <w:spacing w:after="40"/>
              <w:ind w:left="200" w:right="200"/>
            </w:pP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6233A"/>
                <w:sz w:val="18"/>
                <w:szCs w:val="18"/>
              </w:rPr>
              <w:t xml:space="preserve">Ángel Manuel Berrocal Hernández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color w:val="5B6B80"/>
                <w:sz w:val="16"/>
                <w:szCs w:val="16"/>
              </w:rPr>
              <w:t xml:space="preserve">Coordinador Técnico y de Operaciones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color w:val="5B6B80"/>
                <w:sz w:val="16"/>
                <w:szCs w:val="16"/>
              </w:rPr>
              <w:t xml:space="preserve">C.C. 1.042.606.588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650"/>
            </w:pPr>
          </w:p>
          <w:p>
            <w:pPr>
              <w:pBdr>
                <w:top w:val="single" w:color="173A73" w:sz="8" w:space="1"/>
              </w:pBdr>
              <w:spacing w:after="40"/>
              <w:ind w:left="200" w:right="200"/>
            </w:pP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6233A"/>
                <w:sz w:val="18"/>
                <w:szCs w:val="18"/>
              </w:rPr>
              <w:t xml:space="preserve">Jorge Luis Cantillo Martínez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color w:val="5B6B80"/>
                <w:sz w:val="16"/>
                <w:szCs w:val="16"/>
              </w:rPr>
              <w:t xml:space="preserve">Coordinador Comercial y Administrativo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color w:val="5B6B80"/>
                <w:sz w:val="16"/>
                <w:szCs w:val="16"/>
              </w:rPr>
              <w:t xml:space="preserve">C.C. 1.143.395.631</w:t>
            </w:r>
          </w:p>
        </w:tc>
      </w:tr>
    </w:tbl>
    <w:p>
      <w:pPr>
        <w:spacing w:after="80" w:before="0" w:line="288"/>
        <w:jc w:val="both"/>
      </w:pPr>
      <w:r>
        <w:rPr>
          <w:rFonts w:ascii="Arial" w:cs="Arial" w:eastAsia="Arial" w:hAnsi="Arial"/>
          <w:i/>
          <w:iCs/>
          <w:color w:val="5B6B80"/>
          <w:sz w:val="16"/>
          <w:szCs w:val="16"/>
        </w:rPr>
        <w:t xml:space="preserve">Revise que este manual no contradiga los estatutos de Cenova S.A.S. ni un acuerdo de accionistas; si hay diferencias, mandan los estatutos.</w:t>
      </w:r>
    </w:p>
    <w:sectPr>
      <w:headerReference w:type="default" r:id="rId6"/>
      <w:footerReference w:type="default" r:id="rId7"/>
      <w:pgSz w:w="12240" w:h="15840" w:orient="portrait"/>
      <w:pgMar w:top="1500" w:right="1080" w:bottom="1300" w:left="1080" w:header="500" w:footer="45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4E9F1" w:sz="4" w:space="6"/>
      </w:pBdr>
      <w:spacing w:after="40"/>
      <w:jc w:val="center"/>
    </w:pPr>
    <w:r>
      <w:rPr>
        <w:rFonts w:ascii="Arial" w:cs="Arial" w:eastAsia="Arial" w:hAnsi="Arial"/>
        <w:b/>
        <w:bCs/>
        <w:color w:val="FFFFFF"/>
        <w:sz w:val="14"/>
        <w:szCs w:val="14"/>
        <w:shd w:fill="2456A6" w:color="auto" w:val="clear"/>
      </w:rPr>
      <w:t xml:space="preserve"> @ </w:t>
    </w:r>
    <w:r>
      <w:rPr>
        <w:rFonts w:ascii="Arial" w:cs="Arial" w:eastAsia="Arial" w:hAnsi="Arial"/>
        <w:b/>
        <w:bCs/>
        <w:color w:val="173A73"/>
        <w:sz w:val="16"/>
        <w:szCs w:val="16"/>
      </w:rPr>
      <w:t xml:space="preserve">  gerencia@cenovasas.com      </w:t>
    </w:r>
    <w:r>
      <w:rPr>
        <w:rFonts w:ascii="Arial" w:cs="Arial" w:eastAsia="Arial" w:hAnsi="Arial"/>
        <w:b/>
        <w:bCs/>
        <w:color w:val="FFFFFF"/>
        <w:sz w:val="14"/>
        <w:szCs w:val="14"/>
        <w:shd w:fill="2456A6" w:color="auto" w:val="clear"/>
      </w:rPr>
      <w:t xml:space="preserve"> &gt; </w:t>
    </w:r>
    <w:r>
      <w:rPr>
        <w:rFonts w:ascii="Arial" w:cs="Arial" w:eastAsia="Arial" w:hAnsi="Arial"/>
        <w:b/>
        <w:bCs/>
        <w:color w:val="173A73"/>
        <w:sz w:val="16"/>
        <w:szCs w:val="16"/>
      </w:rPr>
      <w:t xml:space="preserve">  https://cenovasas.com      </w:t>
    </w:r>
    <w:r>
      <w:rPr>
        <w:rFonts w:ascii="Arial" w:cs="Arial" w:eastAsia="Arial" w:hAnsi="Arial"/>
        <w:b/>
        <w:bCs/>
        <w:color w:val="FFFFFF"/>
        <w:sz w:val="14"/>
        <w:szCs w:val="14"/>
        <w:shd w:fill="2456A6" w:color="auto" w:val="clear"/>
      </w:rPr>
      <w:t xml:space="preserve"> T </w:t>
    </w:r>
    <w:r>
      <w:rPr>
        <w:rFonts w:ascii="Arial" w:cs="Arial" w:eastAsia="Arial" w:hAnsi="Arial"/>
        <w:b/>
        <w:bCs/>
        <w:color w:val="173A73"/>
        <w:sz w:val="16"/>
        <w:szCs w:val="16"/>
      </w:rPr>
      <w:t xml:space="preserve">  +57 320 717 4937</w:t>
    </w:r>
  </w:p>
  <w:p>
    <w:pPr>
      <w:spacing w:after="0"/>
      <w:jc w:val="center"/>
    </w:pPr>
    <w:r>
      <w:rPr>
        <w:rFonts w:ascii="Arial" w:cs="Arial" w:eastAsia="Arial" w:hAnsi="Arial"/>
        <w:color w:val="5B6B80"/>
        <w:sz w:val="14"/>
        <w:szCs w:val="14"/>
      </w:rPr>
      <w:t xml:space="preserve">Cenova S.A.S. · NIT 902.114.180-1 · Cartagena, Bolívar · CNV-FR-15 · Página </w:t>
    </w:r>
    <w:r>
      <w:rPr>
        <w:rFonts w:ascii="Arial" w:cs="Arial" w:eastAsia="Arial" w:hAnsi="Arial"/>
        <w:color w:val="5B6B80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B6B80"/>
        <w:sz w:val="14"/>
        <w:szCs w:val="14"/>
      </w:rPr>
      <w:t xml:space="preserve"> de </w:t>
    </w:r>
    <w:r>
      <w:rPr>
        <w:rFonts w:ascii="Arial" w:cs="Arial" w:eastAsia="Arial" w:hAnsi="Arial"/>
        <w:color w:val="5B6B80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</w:pPr>
    <w:r>
      <w:drawing>
        <wp:anchor distT="0" distB="0" distL="0" distR="0" simplePos="0" allowOverlap="1" behindDoc="1" locked="0" layoutInCell="1" relativeHeight="1238250">
          <wp:simplePos x="0" y="0"/>
          <wp:positionH relativeFrom="page">
            <wp:posOffset>5962650</wp:posOffset>
          </wp:positionH>
          <wp:positionV relativeFrom="page">
            <wp:posOffset>0</wp:posOffset>
          </wp:positionV>
          <wp:extent cx="1809750" cy="1238250"/>
          <wp:effectExtent t="0" r="0" b="0" l="0"/>
          <wp:wrapNone/>
          <wp:docPr id="8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9750" cy="1238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tbl>
    <w:tblPr>
      <w:tblW w:type="dxa" w:w="1008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760"/>
      <w:gridCol w:w="9320"/>
    </w:tblGrid>
    <w:tr>
      <w:tc>
        <w:tcPr>
          <w:tcW w:type="dxa" w:w="7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120"/>
            <w:bottom w:type="dxa" w:w="0"/>
            <w:right w:type="dxa" w:w="120"/>
          </w:tcMar>
          <w:vAlign w:val="center"/>
        </w:tcPr>
        <w:p>
          <w:pPr>
            <w:spacing w:after="0"/>
          </w:pPr>
          <w:r>
            <w:drawing>
              <wp:inline distT="0" distB="0" distL="0" distR="0">
                <wp:extent cx="419100" cy="323850"/>
                <wp:effectExtent t="0" r="0" b="0" l="0"/>
                <wp:docPr id="7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19100" cy="3238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932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120"/>
            <w:bottom w:type="dxa" w:w="0"/>
            <w:right w:type="dxa" w:w="120"/>
          </w:tcMar>
          <w:vAlign w:val="center"/>
        </w:tcPr>
        <w:p>
          <w:pPr>
            <w:spacing w:after="0" w:line="240"/>
          </w:pPr>
          <w:r>
            <w:rPr>
              <w:rFonts w:ascii="Arial" w:cs="Arial" w:eastAsia="Arial" w:hAnsi="Arial"/>
              <w:b/>
              <w:bCs/>
              <w:color w:val="173A73"/>
              <w:spacing w:val="8"/>
              <w:sz w:val="30"/>
              <w:szCs w:val="30"/>
            </w:rPr>
            <w:t xml:space="preserve">CENOVA</w:t>
          </w:r>
        </w:p>
        <w:p>
          <w:pPr>
            <w:spacing w:after="0"/>
          </w:pPr>
          <w:r>
            <w:rPr>
              <w:rFonts w:ascii="Arial" w:cs="Arial" w:eastAsia="Arial" w:hAnsi="Arial"/>
              <w:color w:val="5B6B80"/>
              <w:spacing w:val="30"/>
              <w:sz w:val="13"/>
              <w:szCs w:val="13"/>
            </w:rPr>
            <w:t xml:space="preserve">TECNOLOGÍA QUE TRANSFORMA</w:t>
          </w:r>
        </w:p>
      </w:tc>
    </w:tr>
  </w:tbl>
  <w:p>
    <w:pPr>
      <w:spacing w:after="12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  <w:rPr>
        <w:color w:val="2456A6"/>
      </w:r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" w15:restartNumberingAfterBreak="0">
    <w:multiLevelType w:val="hybridMultilevel"/>
    <w:lvl w:ilvl="0" w:tentative="1">
      <w:start w:val="1"/>
      <w:numFmt w:val="lowerLetter"/>
      <w:lvlText w:val="%1)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6233A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af901d31b1223e0aa50ec3d620a627dcaff1988.png"/><Relationship Id="rId1" Type="http://schemas.openxmlformats.org/officeDocument/2006/relationships/image" Target="media/d86c52cd7b764b9169afee76ed81e9287f77b8c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desempeño y salida de socios gestores</dc:title>
  <dc:creator>Cenova S.A.S.</dc:creator>
  <dc:description>Formato CNV-FR-15 de Cenova S.A.S.</dc:description>
  <cp:lastModifiedBy>Un-named</cp:lastModifiedBy>
  <cp:revision>1</cp:revision>
  <dcterms:created xsi:type="dcterms:W3CDTF">2026-10-15T21:16:20.807Z</dcterms:created>
  <dcterms:modified xsi:type="dcterms:W3CDTF">2026-10-15T21:16:20.807Z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