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t xml:space="preserve">See the chart </w:t>
      </w:r>
      <w:r>
        <w:drawing>
          <wp:inline distT="0" distB="0" distL="0" distR="0">
            <wp:extent cx="457200" cy="4572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for details.</w:t>
      </w:r>
    </w:p>
    <w:p>
      <w:r>
        <w:t xml:space="preserve">Approved.</w:t>
      </w:r>
      <w:r>
        <w:rPr>
          <w:vertAlign w:val="superscript"/>
        </w:rPr>
        <w:footnoteReference w:id="1"/>
      </w:r>
      <w:r>
        <w:t xml:space="preserve"> The works start.</w:t>
      </w:r>
    </w:p>
    <w:p>
      <w:r>
        <w:t xml:space="preserve">Photo </w:t>
      </w:r>
      <w:r>
        <w:drawing>
          <wp:inline distT="0" distB="0" distL="0" distR="0">
            <wp:extent cx="457200" cy="457200"/>
            <wp:effectExtent l="0" t="0" r="0" b="0"/>
            <wp:docPr id="2" name="Picture 2"/>
            <wp:cNvGraphicFramePr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Cell one</w:t>
            </w:r>
          </w:p>
        </w:tc>
        <w:tc>
          <w:tcPr>
            <w:tcW w:w="2000" w:type="dxa"/>
          </w:tcPr>
          <w:p>
            <w:r>
              <w:t xml:space="preserve">Cell two</w:t>
            </w:r>
          </w:p>
        </w:tc>
      </w:tr>
    </w:tbl>
    <w:p>
      <w:r>
        <w:t xml:space="preserve">Outro paragraph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Voted on May 3.</w:t>
      </w:r>
    </w:p>
  </w:footnote>
</w:footnotes>
</file>

<file path=word/_rels/document.xml.rels><?xml version="1.0" encoding="UTF-8" standalone="yes"?><Relationships xmlns="http://schemas.openxmlformats.org/package/2006/relationships"><Relationship Id="rIdNotes" Type="http://schemas.openxmlformats.org/officeDocument/2006/relationships/footnotes" Target="footnotes.xml"/><Relationship Id="rIdImg" Type="http://schemas.openxmlformats.org/officeDocument/2006/relationships/image" Target="media/image1.png"/></Relationships>
</file>