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The budget is voted.</w:t>
      </w:r>
      <w:r>
        <w:rPr>
          <w:vertAlign w:val="superscript"/>
        </w:rPr>
        <w:footnoteReference w:id="1"/>
      </w:r>
    </w:p>
    <w:p>
      <w:pPr>
        <w:sectPr>
          <w:pgSz w:w="11906" w:h="16838"/>
        </w:sectPr>
      </w:pPr>
      <w:r>
        <w:t xml:space="preserve">The first part ends here.</w:t>
      </w:r>
    </w:p>
    <w:p>
      <w:r>
        <w:t xml:space="preserve">The second part starts here.</w:t>
      </w:r>
    </w:p>
    <w:p>
      <w:r>
        <w:t xml:space="preserve">Chapter one ends.</w:t>
      </w:r>
      <w:r>
        <w:br w:type="page"/>
      </w:r>
      <w:r>
        <w:t xml:space="preserve">Chapter two starts.</w:t>
      </w:r>
    </w:p>
    <w:sectPr/>
  </w:body>
</w:document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rPr>
          <w:vertAlign w:val="superscript"/>
        </w:rPr>
        <w:footnoteRef/>
      </w:r>
      <w:r>
        <w:t xml:space="preserve"> Voted on May 3.</w:t>
      </w:r>
    </w:p>
  </w:footnote>
</w:footnot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otnotes" Target="footnotes.xml"/></Relationships>
</file>