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4DCB1F5F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p</w:t>
            </w:r>
            <w:r/>
          </w:p>
        </w:tc>
        <w:tc>
          <w:tcPr>
            <w:tcBorders/>
            <w:tcW w:w="2400" w:type="dxa"/>
          </w:tcPr>
          <w:p w14:paraId="38DF97B4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q</w:t>
            </w:r>
            <w:r/>
          </w:p>
        </w:tc>
      </w:tr>
      <w:tr>
        <w:trPr/>
        <w:tc>
          <w:tcPr>
            <w:tcBorders/>
            <w:tcW w:w="2400" w:type="dxa"/>
          </w:tcPr>
          <w:p w14:paraId="2C863853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r</w:t>
            </w:r>
            <w:r/>
          </w:p>
        </w:tc>
        <w:tc>
          <w:tcPr>
            <w:tcBorders/>
            <w:tcW w:w="2400" w:type="dxa"/>
          </w:tcPr>
          <w:p w14:paraId="7D4395C8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s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