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BAAC061">
      <w:pPr>
        <w:pStyle w:val="style0"/>
        <w:jc w:val="center"/>
        <w:rPr/>
      </w:pPr>
      <w:r>
        <w:rPr>
          <w:b/>
          <w:sz w:val="40"/>
        </w:rPr>
        <w:t>FINAL MEDICAL REVIEW REPORT</w:t>
      </w:r>
    </w:p>
    <w:p w14:paraId="CD713DCA">
      <w:pPr>
        <w:pStyle w:val="style0"/>
        <w:jc w:val="center"/>
        <w:rPr/>
      </w:pPr>
      <w:r>
        <w:rPr>
          <w:b/>
          <w:sz w:val="32"/>
        </w:rPr>
        <w:t>Artificial Intelligence in Drug Discovery and Clinical Research</w:t>
      </w:r>
    </w:p>
    <w:p w14:paraId="2C93935E">
      <w:pPr>
        <w:pStyle w:val="style0"/>
        <w:jc w:val="center"/>
        <w:rPr/>
      </w:pPr>
    </w:p>
    <w:p w14:paraId="2FE2F791">
      <w:pPr>
        <w:pStyle w:val="style0"/>
        <w:jc w:val="center"/>
        <w:rPr/>
      </w:pPr>
      <w:r>
        <w:t>Prepared by: Lina Kaushali Jadhav</w:t>
      </w:r>
    </w:p>
    <w:p w14:paraId="59F0E406">
      <w:pPr>
        <w:pStyle w:val="style0"/>
        <w:jc w:val="center"/>
        <w:rPr/>
      </w:pPr>
    </w:p>
    <w:p w14:paraId="0E8B8332">
      <w:pPr>
        <w:pStyle w:val="style0"/>
        <w:rPr/>
      </w:pPr>
      <w:r>
        <w:br w:type="page"/>
      </w:r>
    </w:p>
    <w:p w14:paraId="56918BC4">
      <w:pPr>
        <w:pStyle w:val="style1"/>
        <w:rPr/>
      </w:pPr>
      <w:r>
        <w:t>Abstract</w:t>
      </w:r>
    </w:p>
    <w:p w14:paraId="426F431B">
      <w:pPr>
        <w:pStyle w:val="style0"/>
        <w:rPr/>
      </w:pPr>
      <w:r>
        <w:t>Artificial intelligence (AI) is increasingly used across pharmaceutical research and development, from target identification and molecular design to preclinical prediction, clinical-trial planning, safety monitoring and post-marketing surveillance. This review synthesises literature on AI in drug discovery and clinical research, focusing on applications, evidence quality, validation, ethical concerns and regulatory expectations. A targeted narrative search of PubMed and publisher websites was used to identify peer-reviewed reviews and relevant official guidance. The literature indicates that machine learning and related approaches can help prioritise biological hypotheses, screen compounds, predict selected molecular properties, analyse biomedical data and support clinical-trial operations. However, performance in retrospective datasets does not necessarily demonstrate experimental validity, clinical utility or improved patient outcomes. Important barriers include biased or incomplete data, data leakage, limited reproducibility, poor generalisability, interpretability challenges, privacy risks and unclear accountability. AI should therefore be used as a validated decision-support capability within established scientific and quality systems, rather than as a replacement for laboratory experiments, clinical judgement or regulatory assessment. Future progress depends on prospective evaluation, independent validation, transparent reporting, representative data and risk-based governance.</w:t>
      </w:r>
    </w:p>
    <w:p w14:paraId="B9DEFF85">
      <w:pPr>
        <w:pStyle w:val="style1"/>
        <w:rPr/>
      </w:pPr>
      <w:r>
        <w:t>Keywords</w:t>
      </w:r>
    </w:p>
    <w:p w14:paraId="3AF5C911">
      <w:pPr>
        <w:pStyle w:val="style0"/>
        <w:rPr/>
      </w:pPr>
      <w:r>
        <w:t>Artificial intelligence; machine learning; drug discovery; clinical research; clinical trials; validation; ethics; reproducibility.</w:t>
      </w:r>
    </w:p>
    <w:p w14:paraId="BCABA446">
      <w:pPr>
        <w:pStyle w:val="style1"/>
        <w:rPr/>
      </w:pPr>
      <w:r>
        <w:t>1. Introduction</w:t>
      </w:r>
    </w:p>
    <w:p w14:paraId="6E1681AA">
      <w:pPr>
        <w:pStyle w:val="style0"/>
        <w:rPr/>
      </w:pPr>
      <w:r>
        <w:t>Drug discovery and development require the integration of biology, chemistry, pharmacology, toxicology, clinical medicine and regulatory science. A candidate medicine must move through target identification, hit discovery, lead optimisation, preclinical evaluation, clinical trials and regulatory review. Failure can occur because a candidate lacks sufficient efficacy, selectivity, safety, exposure or manufacturability. These challenges contribute to long development timelines and substantial research costs.</w:t>
      </w:r>
    </w:p>
    <w:p w14:paraId="D707F89D">
      <w:pPr>
        <w:pStyle w:val="style0"/>
        <w:rPr/>
      </w:pPr>
      <w:r>
        <w:t>Artificial intelligence is a broad term for computational approaches that perform tasks such as pattern recognition, prediction, language processing and decision support. Machine learning (ML), a subset of AI, identifies statistical patterns from data, while deep learning uses multi-layer neural networks. Generative models can propose candidate molecular structures or other data based on learned patterns. These methods are relevant to pharmaceutical research because modern programmes generate complex chemical, genomic, proteomic, imaging and clinical datasets.</w:t>
      </w:r>
    </w:p>
    <w:p w14:paraId="6228B64E">
      <w:pPr>
        <w:pStyle w:val="style0"/>
        <w:rPr/>
      </w:pPr>
      <w:r>
        <w:t>AI can support target identification, compound prioritisation, molecular design, prediction of absorption, distribution, metabolism and excretion (ADME) properties, toxicity screening, trial planning and safety surveillance. Reviews by Vamathevan et al. (2019), Paul et al. (2021), Hasselgren and Oprea (2024), and Zhang et al. (2025) describe opportunities across different stages of the pipeline. Nevertheless, a computational prediction is not equivalent to experimental proof. A model may perform well on a selected dataset but fail when applied to new compounds, laboratories, patient groups or clinical settings. An association between a biomarker and disease also does not automatically establish a causal therapeutic target.</w:t>
      </w:r>
    </w:p>
    <w:p w14:paraId="9D4E10B0">
      <w:pPr>
        <w:pStyle w:val="style0"/>
        <w:rPr/>
      </w:pPr>
      <w:r>
        <w:t>This review aims to describe important AI applications in drug discovery and clinical research; synthesise peer-reviewed literature; identify limitations in evidence and validation; discuss ethical and regulatory considerations; and propose practical quality-assurance measures for responsible implementation.</w:t>
      </w:r>
    </w:p>
    <w:p w14:paraId="8070E168">
      <w:pPr>
        <w:pStyle w:val="style1"/>
        <w:rPr/>
      </w:pPr>
      <w:r>
        <w:t>2. Methods</w:t>
      </w:r>
    </w:p>
    <w:p w14:paraId="67E620F9">
      <w:pPr>
        <w:pStyle w:val="style0"/>
        <w:rPr/>
      </w:pPr>
      <w:r>
        <w:t>A targeted narrative literature search was undertaken to identify peer-reviewed publications relevant to AI in drug discovery and clinical research. PubMed and publisher websites were used to locate and verify papers. Search concepts included “artificial intelligence drug discovery”, “machine learning drug development”, “AI clinical trial design”, “clinical development”, “generative chemistry”, “model validation” and “reproducibility”. Reference lists and DOI records were consulted to confirm bibliographic details.</w:t>
      </w:r>
    </w:p>
    <w:p w14:paraId="7A415DC3">
      <w:pPr>
        <w:pStyle w:val="style0"/>
        <w:rPr/>
      </w:pPr>
      <w:r>
        <w:t>The review prioritised papers that covered the pharmaceutical development pathway, clinical-trial applications, translational challenges and newer perspectives on AI readiness. Key sources included Vamathevan et al. (2019), Harrer et al. (2019), Shah et al. (2019), Paul et al. (2021), Hasselgren and Oprea (2024), and Zhang et al. (2025). Regulatory publications from the US Food and Drug Administration (FDA) and the FDA–European Medicines Agency (EMA) collaboration were included for context.</w:t>
      </w:r>
    </w:p>
    <w:p w14:paraId="1171DB82">
      <w:pPr>
        <w:pStyle w:val="style0"/>
        <w:rPr/>
      </w:pPr>
      <w:r>
        <w:t>This is a narrative review rather than a systematic review. It did not use a registered protocol, formal risk-of-bias tool, duplicate independent screening or quantitative meta-analysis. It therefore does not claim to capture every relevant publication or provide pooled estimates of AI effectiveness. Review articles also depend on the quality and selection of the primary studies they discuss. Findings are interpreted according to the type of evidence described and the context in which a model was evaluated.</w:t>
      </w:r>
    </w:p>
    <w:p w14:paraId="EB6A22C1">
      <w:pPr>
        <w:pStyle w:val="style1"/>
        <w:rPr/>
      </w:pPr>
      <w:r>
        <w:t>3. AI Applications in Drug Discovery</w:t>
      </w:r>
    </w:p>
    <w:p w14:paraId="F256400B">
      <w:pPr>
        <w:pStyle w:val="style0"/>
        <w:rPr/>
      </w:pPr>
      <w:r>
        <w:t>3.1 Target identification and disease biology</w:t>
      </w:r>
    </w:p>
    <w:p w14:paraId="16D67D54">
      <w:pPr>
        <w:pStyle w:val="style0"/>
        <w:rPr/>
      </w:pPr>
      <w:r>
        <w:t>Target identification aims to find biological components whose modulation may alter disease. AI can integrate genomic, transcriptomic, proteomic, clinical and literature-derived information to identify patterns and prioritise targets. Knowledge graphs can represent relationships among diseases, genes, proteins, pathways and compounds, helping researchers generate testable hypotheses. These approaches may reveal relationships that are difficult to identify from isolated datasets.</w:t>
      </w:r>
    </w:p>
    <w:p w14:paraId="5353CCAB">
      <w:pPr>
        <w:pStyle w:val="style0"/>
        <w:rPr/>
      </w:pPr>
      <w:r>
        <w:t>A major limitation is that association does not establish causation. A gene may be associated with a disease without being a safe or effective therapeutic target. Data can reflect confounding factors, differences in measurement methods or population bias. AI-generated target hypotheses should be assessed through independent datasets, mechanistic reasoning and appropriate experimental validation.</w:t>
      </w:r>
    </w:p>
    <w:p w14:paraId="7A549977">
      <w:pPr>
        <w:pStyle w:val="style0"/>
        <w:rPr/>
      </w:pPr>
      <w:r>
        <w:t>3.2 Virtual screening and molecular design</w:t>
      </w:r>
    </w:p>
    <w:p w14:paraId="92082055">
      <w:pPr>
        <w:pStyle w:val="style0"/>
        <w:rPr/>
      </w:pPr>
      <w:r>
        <w:t>Virtual screening ranks compounds according to predicted activity or binding properties. ML models can learn relationships between molecular structures and measured biological outcomes. Generative AI can propose new structures that optimise selected properties such as potency, solubility, permeability or predicted toxicity. Multi-parameter optimisation is important because a compound with strong activity may still have poor pharmacokinetics, safety liabilities or difficult synthesis.</w:t>
      </w:r>
    </w:p>
    <w:p w14:paraId="92ED7234">
      <w:pPr>
        <w:pStyle w:val="style0"/>
        <w:rPr/>
      </w:pPr>
      <w:r>
        <w:t>Performance depends on training data, the chosen objective and the chemical space represented. A model may recommend compounds that score well computationally but are unstable, nonspecific or biologically inactive. Novelty is not proof of therapeutic value. Medicinal chemists and experimental scientists remain necessary to assess synthetic feasibility, interpret results and design follow-up studies.</w:t>
      </w:r>
    </w:p>
    <w:p w14:paraId="4BAAD595">
      <w:pPr>
        <w:pStyle w:val="style0"/>
        <w:rPr/>
      </w:pPr>
      <w:r>
        <w:t>3.3 ADME and toxicity prediction</w:t>
      </w:r>
    </w:p>
    <w:p w14:paraId="CD875D04">
      <w:pPr>
        <w:pStyle w:val="style0"/>
        <w:rPr/>
      </w:pPr>
      <w:r>
        <w:t>ADME properties influence whether a drug reaches its target at an adequate concentration and remains in the body for an appropriate duration. AI models can estimate solubility, permeability, metabolic stability, clearance and selected toxicity risks. Early predictions may help prioritise experiments and identify liabilities before costly studies are conducted.</w:t>
      </w:r>
    </w:p>
    <w:p w14:paraId="B36CBC1F">
      <w:pPr>
        <w:pStyle w:val="style0"/>
        <w:rPr/>
      </w:pPr>
      <w:r>
        <w:t>Model performance can deteriorate for compounds unlike those in the training data. Toxicity depends on dose, exposure, metabolites, biological context and patient characteristics. A model developed using one assay may not transfer reliably to another laboratory or protocol. In silico predictions should complement, not replace, experimental pharmacology, toxicology and safety assessment.</w:t>
      </w:r>
    </w:p>
    <w:p w14:paraId="F53D555D">
      <w:pPr>
        <w:pStyle w:val="style0"/>
        <w:rPr/>
      </w:pPr>
      <w:r>
        <w:t>3.4 Preclinical and translational research</w:t>
      </w:r>
    </w:p>
    <w:p w14:paraId="632298DC">
      <w:pPr>
        <w:pStyle w:val="style0"/>
        <w:rPr/>
      </w:pPr>
      <w:r>
        <w:t>AI can analyse microscopy, histopathology, high-content screening images and omics datasets. It may assist with phenotypic screening, biomarker identification and experiment prioritisation. These applications can help researchers process large and complex datasets consistently.</w:t>
      </w:r>
    </w:p>
    <w:p w14:paraId="7A209C4E">
      <w:pPr>
        <w:pStyle w:val="style0"/>
        <w:rPr/>
      </w:pPr>
      <w:r>
        <w:t>The central translational challenge is whether findings in cells or animal models predict human outcomes. Experimental systems are incomplete representations of human disease, and computational processing cannot eliminate that limitation. Researchers should consider assay quality, biological plausibility, controls and the limitations of each model system when interpreting predictions.</w:t>
      </w:r>
    </w:p>
    <w:p w14:paraId="4D9AA410">
      <w:pPr>
        <w:pStyle w:val="style1"/>
        <w:rPr/>
      </w:pPr>
      <w:r>
        <w:t>4. AI in Clinical Research</w:t>
      </w:r>
    </w:p>
    <w:p w14:paraId="4BFAF228">
      <w:pPr>
        <w:pStyle w:val="style0"/>
        <w:rPr/>
      </w:pPr>
      <w:r>
        <w:t>AI can support clinical-trial feasibility assessment, protocol development, site selection, participant recruitment, data cleaning, endpoint assessment, trial monitoring and safety-signal detection. Natural-language processing may extract relevant information from clinical records and scientific documents. Predictive models may help identify patients who appear to meet trial eligibility criteria or estimate recruitment feasibility. Harrer et al. (2019) review opportunities for AI in trial design, while Shah et al. (2019) consider its role in clinical development.</w:t>
      </w:r>
    </w:p>
    <w:p w14:paraId="D9892B80">
      <w:pPr>
        <w:pStyle w:val="style0"/>
        <w:rPr/>
      </w:pPr>
      <w:r>
        <w:t>These applications require careful evaluation. Electronic health records may be incomplete, inconsistently coded or different across hospitals. A recruitment model trained in one health system may not perform well elsewhere. If its data under-represent certain groups, it may unintentionally exclude eligible participants. AI-based endpoint assessment can also introduce systematic errors if it has not been validated for the intended population and setting.</w:t>
      </w:r>
    </w:p>
    <w:p w14:paraId="8125B97A">
      <w:pPr>
        <w:pStyle w:val="style0"/>
        <w:rPr/>
      </w:pPr>
      <w:r>
        <w:t>AI may assist post-market surveillance by identifying patterns in adverse-event reports, clinical records or other safety data. However, a signal is not proof that a medicine caused an event. Reporting bias, confounding and differences in exposure must be considered, and signals require appropriate pharmacovigilance assessment. Human oversight and documented responsibilities are especially important when AI outputs could affect patient safety, eligibility or treatment decisions.</w:t>
      </w:r>
    </w:p>
    <w:p w14:paraId="DCB2471B">
      <w:pPr>
        <w:pStyle w:val="style1"/>
        <w:rPr/>
      </w:pPr>
      <w:r>
        <w:t>5. Critical Synthesis of Six Peer-Reviewed Articles</w:t>
      </w:r>
    </w:p>
    <w:p w14:paraId="C3E401A1">
      <w:pPr>
        <w:pStyle w:val="style0"/>
        <w:rPr/>
      </w:pPr>
      <w:r>
        <w:t>5.1 Vamathevan et al. (2019)</w:t>
      </w:r>
    </w:p>
    <w:p w14:paraId="6FB7534D">
      <w:pPr>
        <w:pStyle w:val="style0"/>
        <w:rPr/>
      </w:pPr>
      <w:r>
        <w:t>This review describes machine-learning applications across drug discovery and development, including target validation, biomarker discovery and compound-related prediction. Its strength is a broad, organised overview linking computational methods with research tasks. It also emphasises data quality, interpretability and repeatability. A limitation is that it does not provide a pooled quantitative estimate of AI's effect on development success, cost or duration. Published in 2019, it also predates recent advances in generative AI. The paper is best used as a conceptual foundation rather than a complete account of current capabilities.</w:t>
      </w:r>
    </w:p>
    <w:p w14:paraId="DB11CE02">
      <w:pPr>
        <w:pStyle w:val="style0"/>
        <w:rPr/>
      </w:pPr>
      <w:r>
        <w:t>5.2 Harrer et al. (2019)</w:t>
      </w:r>
    </w:p>
    <w:p w14:paraId="EA188500">
      <w:pPr>
        <w:pStyle w:val="style0"/>
        <w:rPr/>
      </w:pPr>
      <w:r>
        <w:t>Harrer and colleagues examine AI in clinical-trial design and operations. The review is valuable because it extends discussion beyond molecular discovery to recruitment, trial planning and execution. It highlights opportunities to address operational inefficiencies. However, use cases and technical promise do not prove that AI consistently improves recruitment, trial quality or patient outcomes. A tool's performance may vary with disease area, site infrastructure and data availability. Evaluation should include eligibility accuracy, recruitment completion, representativeness, safety and data quality, not just screening speed.</w:t>
      </w:r>
    </w:p>
    <w:p w14:paraId="C799C430">
      <w:pPr>
        <w:pStyle w:val="style0"/>
        <w:rPr/>
      </w:pPr>
      <w:r>
        <w:t>5.3 Shah et al. (2019)</w:t>
      </w:r>
    </w:p>
    <w:p w14:paraId="E3FC67B6">
      <w:pPr>
        <w:pStyle w:val="style0"/>
        <w:rPr/>
      </w:pPr>
      <w:r>
        <w:t>This review takes a translational perspective on AI and ML in clinical development. Its strength is the emphasis on the relationship between computational tools and real development decisions. It helps frame AI as a means of supporting evidence generation rather than an isolated technical intervention. Its age is a limitation because generative AI and regulatory discussions have evolved since publication. The key lesson is that model accuracy should be assessed alongside the consequences of false positives and false negatives, with external and prospective validation for high-impact uses.</w:t>
      </w:r>
    </w:p>
    <w:p w14:paraId="362AC953">
      <w:pPr>
        <w:pStyle w:val="style0"/>
        <w:rPr/>
      </w:pPr>
      <w:r>
        <w:t>5.4 Paul et al. (2021)</w:t>
      </w:r>
    </w:p>
    <w:p w14:paraId="1424E2A6">
      <w:pPr>
        <w:pStyle w:val="style0"/>
        <w:rPr/>
      </w:pPr>
      <w:r>
        <w:t>Paul and colleagues review AI applications across drug discovery and development. The article connects computational approaches with practical pharmaceutical research needs, including target identification and compound design. Its breadth is useful for readers seeking an overview of the field. However, a wide scope limits the depth of evaluation for individual use cases, and rapidly evolving methods can make some examples dated. Promising demonstrations should not be interpreted as evidence that AI consistently improves overall development success. Experimental confirmation remains essential.</w:t>
      </w:r>
    </w:p>
    <w:p w14:paraId="9C64E4D1">
      <w:pPr>
        <w:pStyle w:val="style0"/>
        <w:rPr/>
      </w:pPr>
      <w:r>
        <w:t>5.5 Hasselgren and Oprea (2024)</w:t>
      </w:r>
    </w:p>
    <w:p w14:paraId="8E332A59">
      <w:pPr>
        <w:pStyle w:val="style0"/>
        <w:rPr/>
      </w:pPr>
      <w:r>
        <w:t>This review discusses target selection, molecular design, multi-property optimisation and reproducibility. Its major strength is a balanced view of technical progress and unresolved challenges. It emphasises that generating a molecule is only one step: a candidate must also meet pharmacological, pharmacokinetic, safety and clinical requirements. Its focus on discovery, particularly small molecules, means that it does not cover every clinical-research application equally. Entry into a clinical trial is a milestone, not proof of efficacy. AI is most defensibly viewed as a tool to prioritise experiments and expand the search space.</w:t>
      </w:r>
    </w:p>
    <w:p w14:paraId="CF0F215D">
      <w:pPr>
        <w:pStyle w:val="style0"/>
        <w:rPr/>
      </w:pPr>
      <w:r>
        <w:t>5.6 Zhang et al. (2025)</w:t>
      </w:r>
    </w:p>
    <w:p w14:paraId="55C2BECC">
      <w:pPr>
        <w:pStyle w:val="style0"/>
        <w:rPr/>
      </w:pPr>
      <w:r>
        <w:t>Zhang and colleagues provide a recent overview of AI across the drug-development lifecycle, including target identification, discovery, preclinical and clinical research, and post-market surveillance. The broad scope is a strength because it shows how decisions at one stage can influence later development. However, a broad review may discuss applications supported by different levels of evidence. Retrospective computational studies, preclinical demonstrations and prospective clinical evaluations should not be treated as equivalent. This article is a useful anchor for the present review, but its conclusions should be interpreted alongside focused papers and primary studies. For each application, the critical questions are what was predicted, how it was independently validated, whether it was tested prospectively and whether measurable benefit was demonstrated.</w:t>
      </w:r>
    </w:p>
    <w:p w14:paraId="A4C91084">
      <w:pPr>
        <w:pStyle w:val="style0"/>
        <w:rPr/>
      </w:pPr>
      <w:r>
        <w:t>Comparative synthesis</w:t>
      </w:r>
    </w:p>
    <w:p w14:paraId="951D31AC">
      <w:pPr>
        <w:pStyle w:val="style0"/>
        <w:rPr/>
      </w:pPr>
      <w:r>
        <w:t>Across these articles, a consistent theme emerges: AI can generate useful predictions and help prioritise research, but the degree of evidence supporting different applications varies. The literature is more convincing about the ability of models to process complex data and perform defined prediction tasks than about their ability to improve patient outcomes or transform overall development success. This distinction should guide scientific interpretation and public communication. Reviews also differ in scope: some focus on discovery chemistry, while others examine clinical-trial design or the full development lifecycle. Taken together, they support a lifecycle view while underscoring the need for application-specific validation.</w:t>
      </w:r>
    </w:p>
    <w:p w14:paraId="10649CE8">
      <w:pPr>
        <w:pStyle w:val="style1"/>
        <w:rPr/>
      </w:pPr>
      <w:r>
        <w:t>6. Validation, Reproducibility and Quality</w:t>
      </w:r>
    </w:p>
    <w:p w14:paraId="41B7133C">
      <w:pPr>
        <w:pStyle w:val="style0"/>
        <w:rPr/>
      </w:pPr>
      <w:r>
        <w:t>Validation should start with a clearly defined context of use. Researchers should specify what the model predicts, who will use the output, what decision may follow and what the consequences of error could be. A model used to rank exploratory compounds has a different risk profile from one used to support a clinical eligibility or safety decision.</w:t>
      </w:r>
    </w:p>
    <w:p w14:paraId="DBFA5E59">
      <w:pPr>
        <w:pStyle w:val="style0"/>
        <w:rPr/>
      </w:pPr>
      <w:r>
        <w:t>Training and evaluation data must be separated appropriately, and data leakage must be prevented. In molecular modelling, random splits may overestimate performance if closely related chemical structures appear in both training and test sets. Scaffold-based or time-based evaluation may provide a more demanding test, depending on the intended application. Clinical models should be assessed across sites, time periods and relevant patient subgroups.</w:t>
      </w:r>
    </w:p>
    <w:p w14:paraId="CB3BFD97">
      <w:pPr>
        <w:pStyle w:val="style0"/>
        <w:rPr/>
      </w:pPr>
      <w:r>
        <w:t>Metrics must match the task. For imbalanced classification, accuracy alone may be misleading; sensitivity, specificity, precision and calibration may be more informative. Regression models require appropriate error metrics and uncertainty assessment. Performance should be compared with a meaningful baseline, such as current screening methods or standard clinical workflow.</w:t>
      </w:r>
    </w:p>
    <w:p w14:paraId="604AF866">
      <w:pPr>
        <w:pStyle w:val="style0"/>
        <w:rPr/>
      </w:pPr>
      <w:r>
        <w:t>Reproducibility depends on transparent reporting of data sources, preprocessing, model architecture, software versions, evaluation procedures and limitations. Where proprietary systems prevent full disclosure, organisations should still provide sufficient documentation for appropriate audit and validation. Critical predictions about activity, toxicity or mechanism require fit-for-purpose experimental confirmation.</w:t>
      </w:r>
    </w:p>
    <w:p w14:paraId="A2067C05">
      <w:pPr>
        <w:pStyle w:val="style0"/>
        <w:rPr/>
      </w:pPr>
      <w:r>
        <w:t>Model performance may decline when laboratory methods, clinical practice, disease prevalence or source data change. Post-deployment monitoring should identify drift and specify when retraining, restricting or withdrawing a model is necessary. The FDA's 2025 draft guidance on AI supporting regulatory decision-making proposes a risk-based assessment of model credibility for a defined context of use. As draft guidance, it should not be represented as a final binding rule. Quality systems should document model versions, intended uses, acceptance criteria, human review and change control.</w:t>
      </w:r>
    </w:p>
    <w:p w14:paraId="E06E120F">
      <w:pPr>
        <w:pStyle w:val="style1"/>
        <w:rPr/>
      </w:pPr>
      <w:r>
        <w:t>7. Ethical and Regulatory Considerations</w:t>
      </w:r>
    </w:p>
    <w:p w14:paraId="CA594A9F">
      <w:pPr>
        <w:pStyle w:val="style0"/>
        <w:rPr/>
      </w:pPr>
      <w:r>
        <w:t>Bias and fairness. Models can reproduce biases in training data. If certain populations are under-represented, performance may be poorer for those groups. In clinical research, biased tools may limit access to trials or produce unreliable predictions for particular patients. Evaluation should include relevant subgroup analyses and practical mitigation measures.</w:t>
      </w:r>
    </w:p>
    <w:p w14:paraId="16AB3081">
      <w:pPr>
        <w:pStyle w:val="style0"/>
        <w:rPr/>
      </w:pPr>
      <w:r>
        <w:t>Privacy and consent. Pharmaceutical research may use genomic data, electronic health records, medical images and clinical-trial records. These sources can contain sensitive information. Organisations should use lawful data access, data minimisation, security controls and clear governance for secondary use. Consent, retention, sharing and vendor access should be addressed according to applicable requirements.</w:t>
      </w:r>
    </w:p>
    <w:p w14:paraId="2BB226B7">
      <w:pPr>
        <w:pStyle w:val="style0"/>
        <w:rPr/>
      </w:pPr>
      <w:r>
        <w:t>Explainability and accountability. Complex models may not provide straightforward explanations for individual predictions. Explanation techniques can support interpretation but do not prove correctness. Responsibilities for model development, validation, approval, monitoring and response to errors should be explicitly assigned. Human oversight must be meaningful and supported by training and clear escalation procedures.</w:t>
      </w:r>
    </w:p>
    <w:p w14:paraId="F93D88B5">
      <w:pPr>
        <w:pStyle w:val="style0"/>
        <w:rPr/>
      </w:pPr>
      <w:r>
        <w:t>Transparency and research integrity. AI-assisted reports should distinguish established findings from hypotheses and predictions. References must be checked against original publications. Authors should not fabricate results or imply clinical validation where none exists. Material AI use should be disclosed in accordance with relevant journal, institutional and organisational policies. Confidential or identifiable data should not be entered into unapproved tools.</w:t>
      </w:r>
    </w:p>
    <w:p w14:paraId="A35B5409">
      <w:pPr>
        <w:pStyle w:val="style0"/>
        <w:rPr/>
      </w:pPr>
      <w:r>
        <w:t>Regulatory considerations. Regulatory agencies are developing approaches for responsible AI use in drug development and evidence generation. The FDA's January 2025 draft guidance proposes a risk-based credibility assessment for AI models used to support regulatory decisions about drug safety, effectiveness or quality. FDA–EMA guiding principles published in 2026 further emphasise human-centric design, risk-based governance, standards and a clearly defined context of use. Organisations should verify the current status and applicability of relevant guidance before relying on it for compliance decisions.</w:t>
      </w:r>
    </w:p>
    <w:p w14:paraId="2B49DEB8">
      <w:pPr>
        <w:pStyle w:val="style1"/>
        <w:rPr/>
      </w:pPr>
      <w:r>
        <w:t>8. Research Gaps and Future Directions</w:t>
      </w:r>
    </w:p>
    <w:p w14:paraId="64454B78">
      <w:pPr>
        <w:pStyle w:val="style0"/>
        <w:rPr/>
      </w:pPr>
      <w:r>
        <w:t>First, prospective evaluations are needed. Studies should specify endpoints before model use and measure whether AI improves experimental prioritisation, trial quality, development efficiency or patient outcomes. Prediction accuracy alone is insufficient.</w:t>
      </w:r>
    </w:p>
    <w:p w14:paraId="11005F33">
      <w:pPr>
        <w:pStyle w:val="style0"/>
        <w:rPr/>
      </w:pPr>
      <w:r>
        <w:t>Second, external validation should be strengthened. Models need testing across independent institutions, patient populations, assay platforms and chemical spaces. Shared benchmarks can support comparison, provided data privacy and intellectual-property concerns are addressed.</w:t>
      </w:r>
    </w:p>
    <w:p w14:paraId="14778F06">
      <w:pPr>
        <w:pStyle w:val="style0"/>
        <w:rPr/>
      </w:pPr>
      <w:r>
        <w:t>Third, uncertainty should be communicated and used in decision-making. Systems should flag predictions outside their reliable operating range rather than always producing apparently confident answers. Workflows should define when further experiments or expert review are required.</w:t>
      </w:r>
    </w:p>
    <w:p w14:paraId="CDFCA666">
      <w:pPr>
        <w:pStyle w:val="style0"/>
        <w:rPr/>
      </w:pPr>
      <w:r>
        <w:t>Fourth, AI should be integrated with mechanistic science and experimental feedback. Combining chemical, biological and pharmacological knowledge may improve prioritisation, but hybrid systems also require rigorous evaluation. Complexity alone does not guarantee better results.</w:t>
      </w:r>
    </w:p>
    <w:p w14:paraId="1C7EF1F2">
      <w:pPr>
        <w:pStyle w:val="style0"/>
        <w:rPr/>
      </w:pPr>
      <w:r>
        <w:t>Fifth, research should examine fairness and access. AI-assisted recruitment should be assessed for whether it improves representation or simply accelerates recruitment among populations already well represented in health records. Patient and public perspectives should inform high-impact uses.</w:t>
      </w:r>
    </w:p>
    <w:p w14:paraId="F6BC0768">
      <w:pPr>
        <w:pStyle w:val="style0"/>
        <w:rPr/>
      </w:pPr>
      <w:r>
        <w:t>Finally, reporting standards should include dataset composition, exclusions, missing data, leakage safeguards, baseline comparisons, uncertainty, negative findings and external validation. Negative results are important because they prevent repeated investment in approaches that do not generalise. Interdisciplinary training is also needed so that pharmaceutical scientists, clinicians, statisticians, data scientists and regulatory specialists can evaluate model limitations and communicate uncertainty accurately.</w:t>
      </w:r>
    </w:p>
    <w:p w14:paraId="D9D3B5CF">
      <w:pPr>
        <w:pStyle w:val="style1"/>
        <w:rPr/>
      </w:pPr>
      <w:r>
        <w:t>9. Editorial Changes Made During Review</w:t>
      </w:r>
    </w:p>
    <w:p w14:paraId="6336B52D">
      <w:pPr>
        <w:pStyle w:val="style0"/>
        <w:rPr/>
      </w:pPr>
      <w:r>
        <w:t>The following editorial changes were applied while compiling this final report:</w:t>
      </w:r>
    </w:p>
    <w:p w14:paraId="C25BE7C0">
      <w:pPr>
        <w:pStyle w:val="style0"/>
        <w:rPr/>
      </w:pPr>
      <w:r>
        <w:t>1. Organisation: Consolidated the topic into a single report with a clear progression from background and methods to applications, critical synthesis, validation, ethics, research gaps and conclusion.</w:t>
      </w:r>
      <w:r>
        <w:br/>
      </w:r>
      <w:r>
        <w:t>2. Redundancy: Reduced repeated explanations of AI's potential and repeated cautions about validation by assigning each issue to the most relevant section.</w:t>
      </w:r>
      <w:r>
        <w:br/>
      </w:r>
      <w:r>
        <w:t>3. Terminology: Standardised key terms, including artificial intelligence (AI), machine learning (ML), ADME, clinical development and model validation. Abbreviations are defined at first use.</w:t>
      </w:r>
      <w:r>
        <w:br/>
      </w:r>
      <w:r>
        <w:t>4. Tone: Used balanced scientific language and avoided implying that AI guarantees faster development or better outcomes.</w:t>
      </w:r>
      <w:r>
        <w:br/>
      </w:r>
      <w:r>
        <w:t>5. Critical analysis: Included strengths and limitations for each of six selected review articles and distinguished computational results from experimental and clinical evidence.</w:t>
      </w:r>
      <w:r>
        <w:br/>
      </w:r>
      <w:r>
        <w:t>6. Logical flow: Improved transitions between discovery, clinical research, validation and governance.</w:t>
      </w:r>
      <w:r>
        <w:br/>
      </w:r>
      <w:r>
        <w:t>7. Evidence interpretation: Clarified that retrospective performance, clinical-trial entry and computational predictions do not independently establish patient benefit or drug efficacy.</w:t>
      </w:r>
      <w:r>
        <w:br/>
      </w:r>
      <w:r>
        <w:t>8. Quality and safety: Included bias, privacy, explainability, accountability, reproducibility and risk-based regulatory considerations.</w:t>
      </w:r>
      <w:r>
        <w:br/>
      </w:r>
      <w:r>
        <w:t>9. Formatting: Applied consistent heading levels, Times New Roman typography, paragraph spacing, title page and page-number footer.</w:t>
      </w:r>
      <w:r>
        <w:br/>
      </w:r>
      <w:r>
        <w:t>10. References: Standardised reference presentation and included DOI or publisher/PubMed links where available. The author should open original records and verify every bibliographic detail before submission.</w:t>
      </w:r>
    </w:p>
    <w:p w14:paraId="4F360626">
      <w:pPr>
        <w:pStyle w:val="style0"/>
        <w:rPr/>
      </w:pPr>
      <w:r>
        <w:t>These changes describe the editorial process applied to this compiled report. They do not mean that formal external peer review or an independent scientific audit has been conducted.</w:t>
      </w:r>
    </w:p>
    <w:p w14:paraId="9860BC5D">
      <w:pPr>
        <w:pStyle w:val="style1"/>
        <w:rPr/>
      </w:pPr>
      <w:r>
        <w:t>10. Quality Assurance Process</w:t>
      </w:r>
    </w:p>
    <w:p w14:paraId="DF7237C3">
      <w:pPr>
        <w:pStyle w:val="style0"/>
        <w:rPr/>
      </w:pPr>
      <w:r>
        <w:t>Quality assurance was approached as a structured review rather than a claim of guaranteed error-free content. The process included checking that the report has the required core sections, maintaining consistent terminology, reviewing paragraph order and reducing unnecessary repetition. Scientific claims were phrased cautiously where the literature provides broad or mixed evidence. Review articles were treated as secondary sources, and the report identifies itself as a narrative review rather than a systematic review.</w:t>
      </w:r>
    </w:p>
    <w:p w14:paraId="B69B2B3D">
      <w:pPr>
        <w:pStyle w:val="style0"/>
        <w:rPr/>
      </w:pPr>
      <w:r>
        <w:t>Before submission, the author should complete the following final checks: (1) open each cited article or official guidance document and verify the title, authors, year, journal, volume, pages and DOI; (2) confirm that every in-text citation corresponds to a reference and that no reference is included without being used; (3) compare technical statements against original sources; (4) run spelling and grammar checks in Word; (5) inspect headings, page breaks, page numbers and reference formatting; (6) ensure that no confidential information has been included; and (7) save and reopen the final file to check that formatting is preserved.</w:t>
      </w:r>
    </w:p>
    <w:p w14:paraId="2F45A0BE">
      <w:pPr>
        <w:pStyle w:val="style0"/>
        <w:rPr/>
      </w:pPr>
      <w:r>
        <w:t>A peer-review technique can be used by asking a second reader to review the report for factual accuracy, clarity, unsupported claims, bias and missing limitations. If no independent reviewer is available, the author should perform a separate final read focused on evidence and references after completing the language edit. This reduces, but does not eliminate, the risk of errors. The report should be submitted only after source verification and final proofreading are completed.</w:t>
      </w:r>
    </w:p>
    <w:p w14:paraId="F7F16D11">
      <w:pPr>
        <w:pStyle w:val="style1"/>
        <w:rPr/>
      </w:pPr>
      <w:r>
        <w:t>11. Conclusion</w:t>
      </w:r>
    </w:p>
    <w:p w14:paraId="E939E773">
      <w:pPr>
        <w:pStyle w:val="style0"/>
        <w:rPr/>
      </w:pPr>
      <w:r>
        <w:t>AI can support drug discovery and clinical research by processing complex datasets, prioritising biological targets and compounds, predicting selected molecular properties and assisting clinical-trial workflows. The reviewed literature demonstrates a wide range of potential applications, but the evidence is not uniform across the development pipeline. Computational performance should be distinguished from experimental confirmation, operational benefit and demonstrated clinical benefit.</w:t>
      </w:r>
    </w:p>
    <w:p w14:paraId="03CB8A1A">
      <w:pPr>
        <w:pStyle w:val="style0"/>
        <w:rPr/>
      </w:pPr>
      <w:r>
        <w:t>The main barriers include data quality, bias, limited generalisability, poor reproducibility, privacy risks and the difficulty of translating predictions into real-world decisions. These limitations do not negate AI's potential; they establish the conditions under which its use is scientifically responsible. Clear intended use, independent validation, appropriate experimental confirmation, transparent reporting and ongoing monitoring are essential. AI should complement pharmaceutical scientists, clinicians and regulators, not replace their responsibility for evidence-based decisions. Responsible implementation within established quality and ethical frameworks may improve research prioritisation while preserving the central requirements of drug development: quality, safety and demonstrated efficacy.</w:t>
      </w:r>
    </w:p>
    <w:p w14:paraId="B68C86E0">
      <w:pPr>
        <w:pStyle w:val="style1"/>
        <w:rPr/>
      </w:pPr>
      <w:r>
        <w:t>References</w:t>
      </w:r>
    </w:p>
    <w:p w14:paraId="5DACE772">
      <w:pPr>
        <w:pStyle w:val="style0"/>
        <w:ind w:left="317" w:hanging="317"/>
        <w:rPr/>
      </w:pPr>
      <w:r>
        <w:t>1. Zhang K, Yang X, Wang Y, Yu Y, Huang N, Li G, et al. Artificial intelligence in drug development. Nature Medicine. 2025;31:45–59. doi:10.1038/s41591-024-03434-4. https://pubmed.ncbi.nlm.nih.gov/39833407/</w:t>
      </w:r>
    </w:p>
    <w:p w14:paraId="74E6447B">
      <w:pPr>
        <w:pStyle w:val="style0"/>
        <w:ind w:left="317" w:hanging="317"/>
        <w:rPr/>
      </w:pPr>
      <w:r>
        <w:t>2. Hasselgren C, Oprea TI. Artificial Intelligence for Drug Discovery: Are We There Yet? Annual Review of Pharmacology and Toxicology. 2024;64:527–550. doi:10.1146/annurev-pharmtox-040323-040828. https://pubmed.ncbi.nlm.nih.gov/37738505/</w:t>
      </w:r>
    </w:p>
    <w:p w14:paraId="53FCDE1C">
      <w:pPr>
        <w:pStyle w:val="style0"/>
        <w:ind w:left="317" w:hanging="317"/>
        <w:rPr/>
      </w:pPr>
      <w:r>
        <w:t>3. Vamathevan J, Clark D, Czodrowski P, Dunham I, Ferran E, Lee G, et al. Applications of machine learning in drug discovery and development. Nature Reviews Drug Discovery. 2019;18:463–477. doi:10.1038/s41573-019-0024-5. https://pubmed.ncbi.nlm.nih.gov/30976107/</w:t>
      </w:r>
    </w:p>
    <w:p w14:paraId="704341E4">
      <w:pPr>
        <w:pStyle w:val="style0"/>
        <w:ind w:left="317" w:hanging="317"/>
        <w:rPr/>
      </w:pPr>
      <w:r>
        <w:t>4. Harrer S, Shah P, Antony B, Hu J. Artificial Intelligence for Clinical Trial Design. Trends in Pharmacological Sciences. 2019;40(8):577–591. doi:10.1016/j.tips.2019.05.005. https://pubmed.ncbi.nlm.nih.gov/31326235/</w:t>
      </w:r>
    </w:p>
    <w:p w14:paraId="F057B72F">
      <w:pPr>
        <w:pStyle w:val="style0"/>
        <w:ind w:left="317" w:hanging="317"/>
        <w:rPr/>
      </w:pPr>
      <w:r>
        <w:t>5. Shah P, Kendall F, Khozin S, et al. Artificial intelligence and machine learning in clinical development: a translational perspective. npj Digital Medicine. 2019;2:69. doi:10.1038/s41746-019-0148-3. https://www.nature.com/articles/s41746-019-0148-3</w:t>
      </w:r>
    </w:p>
    <w:p w14:paraId="8D242E7D">
      <w:pPr>
        <w:pStyle w:val="style0"/>
        <w:ind w:left="317" w:hanging="317"/>
        <w:rPr/>
      </w:pPr>
      <w:r>
        <w:t>6. Paul D, Sanap G, Shenoy S, Kalyane D, Kalia K, Tekade RK. Artificial intelligence in drug discovery and development. Drug Discovery Today. 2021;26(1):80–93. doi:10.1016/j.drudis.2020.10.010. https://pubmed.ncbi.nlm.nih.gov/33099022/</w:t>
      </w:r>
    </w:p>
    <w:p w14:paraId="D982613B">
      <w:pPr>
        <w:pStyle w:val="style0"/>
        <w:ind w:left="317" w:hanging="317"/>
        <w:rPr/>
      </w:pPr>
      <w:r>
        <w:t>7. US Food and Drug Administration. Considerations for the Use of Artificial Intelligence to Support Regulatory Decision-Making for Drug and Biological Products: Draft Guidance for Industry and Other Interested Parties. January 2025. https://www.fda.gov/regulatory-information/search-fda-guidance-documents/considerations-use-artificial-intelligence-support-regulatory-decision-making-drug-and-biological</w:t>
      </w:r>
    </w:p>
    <w:p w14:paraId="34CA3AB6">
      <w:pPr>
        <w:pStyle w:val="style0"/>
        <w:ind w:left="317" w:hanging="317"/>
        <w:rPr/>
      </w:pPr>
      <w:r>
        <w:t>8. US Food and Drug Administration and European Medicines Agency. Guiding Principles of Good AI Practice in Drug Development. 2026. Verify the official publication page and current document version before submission.</w:t>
      </w:r>
    </w:p>
    <w:sectPr>
      <w:footerReference w:type="default" r:id="rId2"/>
      <w:pgSz w:w="12240" w:h="15840" w:orient="portrait"/>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A21CE5D">
    <w:pPr>
      <w:pStyle w:val="style32"/>
      <w:jc w:val="center"/>
      <w:rPr/>
    </w:pPr>
    <w:r>
      <w:t xml:space="preserve">Medical Writing Internship  | Page </w:t>
    </w:r>
    <w:r>
      <w:rPr/>
      <w:fldChar w:fldCharType="begin"/>
    </w:r>
    <w:r>
      <w:instrText>PAGE</w:instrText>
    </w:r>
    <w:r>
      <w:rPr/>
      <w:fldChar w:fldCharType="separate"/>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pPr>
    <w:rPr>
      <w:rFonts w:ascii="Times New Roman" w:eastAsia="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0193884-68aa-40f1-b19f-3dfdbbee1c1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f0ce084-318b-42f5-b907-ce3b5d2e658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0"/>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5bd6d4d-b15e-45a6-8180-11d431343c8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dbecee2-9084-4e43-a00b-e104a5e84cd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0069d25-dcec-46df-8398-4ac7b8322732"/>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9b7a529c-09f0-4c9c-a225-3b00d034558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f423fe0-938b-48df-ac39-669bb6109708"/>
    <w:basedOn w:val="style65"/>
    <w:next w:val="style4108"/>
    <w:link w:val="style180"/>
    <w:uiPriority w:val="29"/>
    <w:rPr>
      <w:i/>
      <w:iCs/>
      <w:color w:val="000000"/>
    </w:rPr>
  </w:style>
  <w:style w:type="character" w:customStyle="1" w:styleId="style4109">
    <w:name w:val="Heading 4 Char_c8cffbf3-b3ed-4a49-932c-6a0b05eeb0c8"/>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f29051e1-937c-4548-8372-8925106bfbab"/>
    <w:basedOn w:val="style65"/>
    <w:next w:val="style4110"/>
    <w:link w:val="style5"/>
    <w:uiPriority w:val="9"/>
    <w:rPr>
      <w:rFonts w:ascii="Calibri" w:cs="宋体" w:eastAsia="ＭＳ ゴシック" w:hAnsi="Calibri"/>
      <w:color w:val="243f60"/>
    </w:rPr>
  </w:style>
  <w:style w:type="character" w:customStyle="1" w:styleId="style4111">
    <w:name w:val="Heading 6 Char_3b070099-ef64-49a0-bd1f-d218e2bb1962"/>
    <w:basedOn w:val="style65"/>
    <w:next w:val="style4111"/>
    <w:link w:val="style6"/>
    <w:uiPriority w:val="9"/>
    <w:rPr>
      <w:rFonts w:ascii="Calibri" w:cs="宋体" w:eastAsia="ＭＳ ゴシック" w:hAnsi="Calibri"/>
      <w:i/>
      <w:iCs/>
      <w:color w:val="243f60"/>
    </w:rPr>
  </w:style>
  <w:style w:type="character" w:customStyle="1" w:styleId="style4112">
    <w:name w:val="Heading 7 Char_23b8a037-10a4-434e-9a9c-585386a2a897"/>
    <w:basedOn w:val="style65"/>
    <w:next w:val="style4112"/>
    <w:link w:val="style7"/>
    <w:uiPriority w:val="9"/>
    <w:rPr>
      <w:rFonts w:ascii="Calibri" w:cs="宋体" w:eastAsia="ＭＳ ゴシック" w:hAnsi="Calibri"/>
      <w:i/>
      <w:iCs/>
      <w:color w:val="404040"/>
    </w:rPr>
  </w:style>
  <w:style w:type="character" w:customStyle="1" w:styleId="style4113">
    <w:name w:val="Heading 8 Char_f7f9cfb7-9610-450b-a5eb-3414d40f860a"/>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c9a162e-cc61-48ff-a8e9-f425b2a4359f"/>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abf9e71-ebb9-4d42-a783-0702e570d1e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3719</Words>
  <Pages>1</Pages>
  <Characters>25112</Characters>
  <Application>WPS Office</Application>
  <DocSecurity>0</DocSecurity>
  <Paragraphs>92</Paragraphs>
  <ScaleCrop>false</ScaleCrop>
  <LinksUpToDate>false</LinksUpToDate>
  <CharactersWithSpaces>28736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CPH2613</lastModifiedBy>
  <dcterms:modified xsi:type="dcterms:W3CDTF">2026-10-28T16:11:18Z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cdd9f5e2e8bc48d1bac0284795e3e7e3_23</vt:lpwstr>
  </property>
</Properties>
</file>