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EE4404B">
      <w:pPr>
        <w:pStyle w:val="style0"/>
        <w:spacing w:before="1800"/>
        <w:jc w:val="center"/>
        <w:rPr/>
      </w:pPr>
      <w:r>
        <w:rPr>
          <w:rFonts w:ascii="Calibri" w:hAnsi="Calibri"/>
          <w:b/>
          <w:color w:val="17365d"/>
          <w:sz w:val="50"/>
        </w:rPr>
        <w:t>ARTIFICIAL INTELLIGENCE IN</w:t>
      </w:r>
      <w:r>
        <w:rPr>
          <w:rFonts w:ascii="Calibri" w:hAnsi="Calibri"/>
          <w:b/>
          <w:color w:val="17365d"/>
          <w:sz w:val="50"/>
        </w:rPr>
        <w:br/>
      </w:r>
      <w:r>
        <w:rPr>
          <w:rFonts w:ascii="Calibri" w:hAnsi="Calibri"/>
          <w:b/>
          <w:color w:val="17365d"/>
          <w:sz w:val="50"/>
        </w:rPr>
        <w:t>DRUG DISCOVERY AND CLINICAL RESEARCH</w:t>
      </w:r>
    </w:p>
    <w:p w14:paraId="77146294">
      <w:pPr>
        <w:pStyle w:val="style0"/>
        <w:jc w:val="center"/>
        <w:rPr/>
      </w:pPr>
      <w:r>
        <w:rPr>
          <w:i/>
          <w:color w:val="595959"/>
          <w:sz w:val="30"/>
        </w:rPr>
        <w:t>Applications, Evidence, Challenges, and Future Perspectives</w:t>
      </w:r>
    </w:p>
    <w:p w14:paraId="DDE53848">
      <w:pPr>
        <w:pStyle w:val="style0"/>
        <w:rPr/>
      </w:pPr>
    </w:p>
    <w:p w14:paraId="BEFEECDB">
      <w:pPr>
        <w:pStyle w:val="style0"/>
        <w:rPr/>
      </w:pPr>
    </w:p>
    <w:p w14:paraId="6A461ABA">
      <w:pPr>
        <w:pStyle w:val="style0"/>
        <w:rPr/>
      </w:pPr>
    </w:p>
    <w:p w14:paraId="68FCBF3E">
      <w:pPr>
        <w:pStyle w:val="style0"/>
        <w:jc w:val="center"/>
        <w:rPr/>
      </w:pPr>
      <w:r>
        <w:rPr>
          <w:b/>
        </w:rPr>
        <w:t>A narrative research summary</w:t>
      </w:r>
    </w:p>
    <w:p w14:paraId="5A0572A5">
      <w:pPr>
        <w:pStyle w:val="style0"/>
        <w:jc w:val="center"/>
        <w:rPr/>
      </w:pPr>
      <w:r>
        <w:t xml:space="preserve">Prepared </w:t>
      </w:r>
      <w:r>
        <w:rPr>
          <w:lang w:val="en-US"/>
        </w:rPr>
        <w:t>by : Lina Kaushali Jadhav.</w:t>
      </w:r>
    </w:p>
    <w:p w14:paraId="C32770C0">
      <w:pPr>
        <w:pStyle w:val="style0"/>
        <w:spacing w:before="2000"/>
        <w:jc w:val="center"/>
        <w:rPr/>
      </w:pPr>
    </w:p>
    <w:p w14:paraId="43536CE3">
      <w:pPr>
        <w:pStyle w:val="style0"/>
        <w:rPr/>
      </w:pPr>
      <w:r>
        <w:br w:type="page"/>
      </w:r>
    </w:p>
    <w:p w14:paraId="6A19CC59">
      <w:pPr>
        <w:pStyle w:val="style1"/>
        <w:rPr/>
      </w:pPr>
      <w:r>
        <w:t>Abstract</w:t>
      </w:r>
    </w:p>
    <w:p w14:paraId="207787AF">
      <w:pPr>
        <w:pStyle w:val="style0"/>
        <w:rPr/>
      </w:pPr>
      <w:r>
        <w:t>Artificial intelligence (AI) is increasingly used across pharmaceutical research, from identifying disease-associated targets and designing candidate molecules to supporting clinical-trial operations and analysing post-marketing safety data. Machine learning, deep learning, natural-language processing, generative models and knowledge graphs can process complex biological and chemical datasets at a scale that is difficult to achieve through manual analysis alone. This narrative research summary reviews major applications of AI in drug discovery and clinical research, evaluates representative evidence, and discusses limitations that affect translation into routine practice. Publicly available peer-reviewed literature and regulatory publications were reviewed, prioritising major reviews, illustrative primary studies and guidance available through October 2026. The literature suggests that AI can improve prioritisation, prediction and workflow efficiency in selected settings, including molecular design, protein-structure prediction, trial feasibility, participant matching and safety-signal detection. A notable translational milestone was a randomized phase 2a trial of a generative-AI-discovered TNIK inhibitor for idiopathic pulmonary fibrosis, which reported safety and preliminary efficacy signals; however, one trial does not establish that AI systematically improves drug-development success. Persistent barriers include biased or incomplete datasets, weak external validation, data leakage, limited interpretability, uncertain generalisability, privacy risks, regulatory complexity and inflated claims of speed or cost reduction. AI should therefore be understood as a set of decision-support methods rather than an autonomous replacement for experimental science, clinical expertise or regulatory judgement. Responsible implementation requires prospective validation, transparent reporting, representative data, human oversight and evaluation against meaningful clinical and operational endpoints. The field’s central challenge is shifting from technically impressive predictions to demonstrable improvements in safe, effective and accessible medicines.</w:t>
      </w:r>
    </w:p>
    <w:p w14:paraId="B3A45C39">
      <w:pPr>
        <w:pStyle w:val="style0"/>
        <w:rPr/>
      </w:pPr>
      <w:r>
        <w:t>Keywords: artificial intelligence; machine learning; drug discovery; clinical trials; generative AI; precision medicine; pharmacovigilance; regulatory science</w:t>
      </w:r>
    </w:p>
    <w:p w14:paraId="84F6D91A">
      <w:pPr>
        <w:pStyle w:val="style1"/>
        <w:rPr/>
      </w:pPr>
      <w:r>
        <w:t>1. Introduction</w:t>
      </w:r>
    </w:p>
    <w:p w14:paraId="7A5DA3AD">
      <w:pPr>
        <w:pStyle w:val="style2"/>
        <w:rPr/>
      </w:pPr>
      <w:r>
        <w:t>1.1 Background</w:t>
      </w:r>
    </w:p>
    <w:p w14:paraId="8D004031">
      <w:pPr>
        <w:pStyle w:val="style0"/>
        <w:rPr/>
      </w:pPr>
      <w:r>
        <w:t>Drug development is a long, costly and uncertain process. Researchers must understand disease biology, identify a tractable therapeutic target, discover and optimise a candidate, establish its pharmacology and safety, and then demonstrate an acceptable benefit–risk profile in human studies. Many promising compounds fail because biological effects observed in laboratory models do not translate into patients, toxicity emerges at clinically relevant exposures, or a treatment provides insufficient benefit. Traditional research remains indispensable, but it often requires iterative experiments across enormous chemical and biological search spaces.</w:t>
      </w:r>
    </w:p>
    <w:p w14:paraId="36BB6B82">
      <w:pPr>
        <w:pStyle w:val="style0"/>
        <w:rPr/>
      </w:pPr>
      <w:r>
        <w:t>AI refers broadly to computational systems that generate predictions, recommendations or decisions from data. Machine learning (ML), a major subset of AI, estimates patterns from examples rather than relying only on explicitly programmed rules. Deep learning uses multilayer neural networks to model complex relationships. Natural-language processing (NLP) extracts information from scientific text, trial records and clinical narratives. Generative models produce new candidate structures, sequences, text or other data based on learned patterns. These methods have expanded as biological datasets, computing resources and automated laboratory systems have grown.</w:t>
      </w:r>
    </w:p>
    <w:p w14:paraId="A5865B52">
      <w:pPr>
        <w:pStyle w:val="style0"/>
        <w:rPr/>
      </w:pPr>
      <w:r>
        <w:t>AI is not one technology with one level of reliability. A validated model predicting a physicochemical property is fundamentally different from a generative system proposing a new molecule or a clinical decision-support tool used for patient care. Performance depends on the intended task, the quality and representativeness of the training data, the way the model is evaluated, and the consequences of an incorrect prediction. The US Food and Drug Administration (FDA) recognises that AI components are appearing across nonclinical, clinical, manufacturing and post-marketing activities, and has issued recommendations for assessing AI-generated evidence intended to support regulatory decisions [1].</w:t>
      </w:r>
    </w:p>
    <w:p w14:paraId="C7B18EC4">
      <w:pPr>
        <w:pStyle w:val="style2"/>
        <w:rPr/>
      </w:pPr>
      <w:r>
        <w:t>1.2 Rationale and significance</w:t>
      </w:r>
    </w:p>
    <w:p w14:paraId="8014014E">
      <w:pPr>
        <w:pStyle w:val="style0"/>
        <w:rPr/>
      </w:pPr>
      <w:r>
        <w:t>Interest in AI has grown because it may help researchers search chemical space, integrate multiple data types, prioritise experiments and reduce avoidable operational work. Its relevance extends beyond molecule design: clinical research teams can use algorithms to assess trial feasibility, identify eligible participants, predict recruitment bottlenecks, monitor data quality and support pharmacovigilance. Yet claims that AI will automatically make drug development faster, cheaper or more successful should be treated cautiously. Improvements in a benchmark or a laboratory assay do not necessarily translate into safer medicines or better patient outcomes [2,3].</w:t>
      </w:r>
    </w:p>
    <w:p w14:paraId="40EE2E97">
      <w:pPr>
        <w:pStyle w:val="style2"/>
        <w:rPr/>
      </w:pPr>
      <w:r>
        <w:t>1.3 Aim and objectives</w:t>
      </w:r>
    </w:p>
    <w:p w14:paraId="15539C3E">
      <w:pPr>
        <w:pStyle w:val="style0"/>
        <w:rPr/>
      </w:pPr>
      <w:r>
        <w:t>The aim is to synthesise evidence on the current role of AI in drug discovery and clinical research, with emphasis on demonstrated uses, translational limitations and responsible implementation.</w:t>
      </w:r>
    </w:p>
    <w:p w14:paraId="DEF70684">
      <w:pPr>
        <w:pStyle w:val="style48"/>
        <w:rPr/>
      </w:pPr>
      <w:r>
        <w:t>Describe key AI methods and where they fit in the pharmaceutical development pathway.</w:t>
      </w:r>
    </w:p>
    <w:p w14:paraId="3CF8CDAB">
      <w:pPr>
        <w:pStyle w:val="style48"/>
        <w:rPr/>
      </w:pPr>
      <w:r>
        <w:t>Summarise evidence for target identification, molecular design, preclinical prediction and clinical-trial support.</w:t>
      </w:r>
    </w:p>
    <w:p w14:paraId="FE9419B1">
      <w:pPr>
        <w:pStyle w:val="style48"/>
        <w:rPr/>
      </w:pPr>
      <w:r>
        <w:t>Examine safety, ethical, regulatory and data-governance concerns.</w:t>
      </w:r>
    </w:p>
    <w:p w14:paraId="63EC1495">
      <w:pPr>
        <w:pStyle w:val="style48"/>
        <w:rPr/>
      </w:pPr>
      <w:r>
        <w:t>Identify research gaps and practical recommendations for future studies.</w:t>
      </w:r>
    </w:p>
    <w:p w14:paraId="892B21FF">
      <w:pPr>
        <w:pStyle w:val="style1"/>
        <w:rPr/>
      </w:pPr>
      <w:r>
        <w:t>2. Methods</w:t>
      </w:r>
    </w:p>
    <w:p w14:paraId="4B4C1408">
      <w:pPr>
        <w:pStyle w:val="style2"/>
        <w:rPr/>
      </w:pPr>
      <w:r>
        <w:t>2.1 Review design</w:t>
      </w:r>
    </w:p>
    <w:p w14:paraId="B233E5F5">
      <w:pPr>
        <w:pStyle w:val="style0"/>
        <w:rPr/>
      </w:pPr>
      <w:r>
        <w:t>This document uses a narrative research-summary approach rather than a formal systematic review. It synthesises peer-reviewed reviews, illustrative primary research and regulatory publications identified through publicly accessible sources, including PubMed, publisher websites and the FDA. The search emphasis was on literature published from 2020 through October 2026, while earlier foundational work was considered where relevant. Search concepts included “artificial intelligence drug discovery”, “machine learning pharmaceutical development”, “generative AI clinical trials”, “AI pharmacovigilance”, “protein structure prediction”, and “FDA artificial intelligence drug development”.</w:t>
      </w:r>
    </w:p>
    <w:p w14:paraId="A60EE6C3">
      <w:pPr>
        <w:pStyle w:val="style2"/>
        <w:rPr/>
      </w:pPr>
      <w:r>
        <w:t>2.2 Eligibility and selection principles</w:t>
      </w:r>
    </w:p>
    <w:p w14:paraId="D43B8A6D">
      <w:pPr>
        <w:pStyle w:val="style0"/>
        <w:rPr/>
      </w:pPr>
      <w:r>
        <w:t>Priority was given to peer-reviewed research, major scientific reviews, open-access papers where available, and official regulatory guidance. Sources were selected for relevance to drug discovery, clinical research or safety oversight, and for their ability to illustrate both benefits and limitations. Opinion pieces were used to frame debate, not as substitutes for empirical evidence. Studies were not pooled statistically, and no meta-analysis was conducted.</w:t>
      </w:r>
    </w:p>
    <w:p w14:paraId="D25EF776">
      <w:pPr>
        <w:pStyle w:val="style2"/>
        <w:rPr/>
      </w:pPr>
      <w:r>
        <w:t>2.3 Synthesis and limitations of the method</w:t>
      </w:r>
    </w:p>
    <w:p w14:paraId="F4EE0DC3">
      <w:pPr>
        <w:pStyle w:val="style0"/>
        <w:rPr/>
      </w:pPr>
      <w:r>
        <w:t>Findings were grouped into the drug-development pipeline: target discovery, molecular design and optimisation, preclinical assessment, clinical-trial planning and execution, and post-market monitoring. Cross-cutting themes—validation, bias, interpretability, privacy, regulation and accountability—were then compared across stages. Because this is a narrative summary, it does not claim exhaustive retrieval, duplicate independent screening or formal risk-of-bias grading. Search dates, database-specific search strings and screening counts were not prospectively registered. Consequently, the paper should be read as a structured overview, not a PRISMA-compliant systematic review.</w:t>
      </w:r>
    </w:p>
    <w:p w14:paraId="FAEA3497">
      <w:pPr>
        <w:pStyle w:val="style1"/>
        <w:rPr/>
      </w:pPr>
      <w:r>
        <w:t>3. Results: Applications and Evidence</w:t>
      </w:r>
    </w:p>
    <w:p w14:paraId="7D407759">
      <w:pPr>
        <w:pStyle w:val="style2"/>
        <w:rPr/>
      </w:pPr>
      <w:r>
        <w:t>3.1 AI for disease biology and target identification</w:t>
      </w:r>
    </w:p>
    <w:p w14:paraId="CD596399">
      <w:pPr>
        <w:pStyle w:val="style0"/>
        <w:rPr/>
      </w:pPr>
      <w:r>
        <w:t>A drug target is a biological component—often a protein, receptor, enzyme, gene or pathway—whose modulation may alter disease. Target selection is difficult because diseases commonly involve interacting pathways, compensatory responses and differences between patients. AI can combine transcriptomic, proteomic, genomic, imaging, clinical and literature-derived information to prioritise targets or identify patterns associated with disease. Knowledge graphs can connect genes, proteins, compounds, pathways, phenotypes and published findings; NLP can extract relationships from large bodies of biomedical literature [2,4].</w:t>
      </w:r>
    </w:p>
    <w:p w14:paraId="880B17C3">
      <w:pPr>
        <w:pStyle w:val="style0"/>
        <w:rPr/>
      </w:pPr>
      <w:r>
        <w:t>These tools can help researchers generate hypotheses and identify connections that are difficult to notice in isolated datasets. For example, models can rank genes according to their association with a disease phenotype or predict whether perturbing a pathway may reverse a disease-associated cellular signature. Such rankings are useful for selecting experiments, but they do not establish causality. A correlation may reflect a downstream consequence rather than a driver of disease, and an apparently strong association may arise from confounding, publication bias or batch effects.</w:t>
      </w:r>
    </w:p>
    <w:p w14:paraId="62E56158">
      <w:pPr>
        <w:pStyle w:val="style0"/>
        <w:rPr/>
      </w:pPr>
      <w:r>
        <w:t>Target validation therefore remains a biological and experimental task. Predictions should be tested with orthogonal methods such as genetic perturbation, biochemical assays, relevant cellular systems and, when justified, animal or human evidence. AI models trained on well-studied diseases may also perform poorly in rare conditions or in populations underrepresented in research databases. A practical benefit is prioritisation—not the elimination of uncertainty or the replacement of mechanistic investigation.</w:t>
      </w:r>
    </w:p>
    <w:p w14:paraId="D92894B4">
      <w:pPr>
        <w:pStyle w:val="style2"/>
        <w:rPr/>
      </w:pPr>
      <w:r>
        <w:t>3.2 Molecular discovery and generative design</w:t>
      </w:r>
    </w:p>
    <w:p w14:paraId="D3237A6A">
      <w:pPr>
        <w:pStyle w:val="style0"/>
        <w:rPr/>
      </w:pPr>
      <w:r>
        <w:t>Once a target is selected, researchers seek molecules that interact with it and have suitable potency, selectivity, solubility, stability, permeability, metabolic properties and safety. Traditional high-throughput screening tests large compound libraries, while structure-based design and medicinal chemistry guide iterative optimisation. AI can predict molecular properties, rank virtual-screening candidates, identify chemical similarities, estimate binding poses and propose new molecular structures. Graph neural networks represent atoms and bonds as connected nodes and edges; transformer-based models learn patterns in molecular representations; reinforcement-learning methods can optimise candidate generation against defined objectives [2,5].</w:t>
      </w:r>
    </w:p>
    <w:p w14:paraId="FCC1AD29">
      <w:pPr>
        <w:pStyle w:val="style0"/>
        <w:rPr/>
      </w:pPr>
      <w:r>
        <w:t>Generative design is attractive because the number of chemically possible molecules is enormous. A model can propose structures that satisfy selected constraints, but a mathematically attractive candidate may be unstable, difficult to synthesise, biologically inactive or toxic. Multi-objective optimisation is particularly challenging: increasing potency can worsen selectivity, and improving one predicted property may damage another. Models may also generate structures that are close to compounds in training data, making novelty or intellectual-property claims difficult to establish.</w:t>
      </w:r>
    </w:p>
    <w:p w14:paraId="895CDB29">
      <w:pPr>
        <w:pStyle w:val="style0"/>
        <w:rPr/>
      </w:pPr>
      <w:r>
        <w:t>AI is most useful when integrated with medicinal chemistry and experimental feedback. Proposed compounds should be filtered for chemical validity, synthesizability, novelty, physicochemical suitability and predicted liabilities before being synthesised and tested. Measured results can then update the model and inform the next experiment. This closed-loop approach can make laboratory work more focused, but its value should be measured by experimentally confirmed hits, quality of leads, reproducibility and downstream performance—not by the number of molecules generated.</w:t>
      </w:r>
    </w:p>
    <w:p w14:paraId="94893A79">
      <w:pPr>
        <w:pStyle w:val="style2"/>
        <w:rPr/>
      </w:pPr>
      <w:r>
        <w:t>3.3 Protein structure and biological modelling</w:t>
      </w:r>
    </w:p>
    <w:p w14:paraId="B57A8430">
      <w:pPr>
        <w:pStyle w:val="style0"/>
        <w:rPr/>
      </w:pPr>
      <w:r>
        <w:t>Protein structure strongly influences biological function and drug binding. Deep-learning systems such as AlphaFold have substantially advanced the prediction of protein structures from sequence and related information [6]. Structural predictions can support hypothesis generation, identification of potential binding pockets and planning of experiments. They can also assist research on proteins for which experimental structures are difficult to obtain.</w:t>
      </w:r>
    </w:p>
    <w:p w14:paraId="056F8B46">
      <w:pPr>
        <w:pStyle w:val="style0"/>
        <w:rPr/>
      </w:pPr>
      <w:r>
        <w:t>A predicted structure is not a complete representation of biology. Proteins can change conformation, interact with other molecules, undergo post-translational modifications and exist in different cellular environments. Static structures may not represent the active state relevant to a drug, and a predicted binding interaction is not proof of affinity, selectivity or therapeutic effect. Structure prediction is therefore a powerful input to structural biology, not a substitute for biophysical measurements, functional assays or crystallographic and cryo-electron microscopy evidence where appropriate.</w:t>
      </w:r>
    </w:p>
    <w:p w14:paraId="5E42B6F1">
      <w:pPr>
        <w:pStyle w:val="style2"/>
        <w:rPr/>
      </w:pPr>
      <w:r>
        <w:t>3.4 Preclinical efficacy, pharmacokinetics and toxicity</w:t>
      </w:r>
    </w:p>
    <w:p w14:paraId="1C45D44C">
      <w:pPr>
        <w:pStyle w:val="style0"/>
        <w:rPr/>
      </w:pPr>
      <w:r>
        <w:t>Preclinical evaluation investigates whether a candidate has the intended biological effect and whether exposure is likely to be safe. AI models may estimate absorption, distribution, metabolism, excretion and toxicity (ADMET), including solubility, permeability, metabolic stability, drug–drug interaction risk and potential organ toxicity. They may also analyse high-content cellular images, omics data or toxicology findings to identify patterns associated with biological responses [2,5]. These predictions can help prioritise compounds and reduce the number of low-value experiments.</w:t>
      </w:r>
    </w:p>
    <w:p w14:paraId="7AB4B192">
      <w:pPr>
        <w:pStyle w:val="style0"/>
        <w:rPr/>
      </w:pPr>
      <w:r>
        <w:t>The central limitation is extrapolation. A model trained on historical compounds may not generalise to a new chemical scaffold, biological mechanism, dose range or species. Training data may contain inconsistent experimental protocols, incomplete negative results or labels that combine incompatible assays. A model can appear accurate when test compounds are very similar to training compounds but fail on genuinely novel chemistry. Random train–test splits may therefore overestimate performance; temporal splits, scaffold splits, external datasets and prospective tests provide stronger evidence of generalisability.</w:t>
      </w:r>
    </w:p>
    <w:p w14:paraId="26415085">
      <w:pPr>
        <w:pStyle w:val="style0"/>
        <w:rPr/>
      </w:pPr>
      <w:r>
        <w:t>AI should not be used to bypass required safety testing. Predicted toxicity can flag concerns and guide experiments, but uncertain or high-consequence predictions require appropriate follow-up. A robust workflow records the domain in which the model is reliable, quantifies uncertainty and specifies when a prediction is insufficient to support a decision.</w:t>
      </w:r>
    </w:p>
    <w:p w14:paraId="AE821F93">
      <w:pPr>
        <w:pStyle w:val="style2"/>
        <w:rPr/>
      </w:pPr>
      <w:r>
        <w:t>3.5 Clinical-trial design and participant recruitment</w:t>
      </w:r>
    </w:p>
    <w:p w14:paraId="826B587F">
      <w:pPr>
        <w:pStyle w:val="style0"/>
        <w:rPr/>
      </w:pPr>
      <w:r>
        <w:t>Clinical trials are expensive and operationally complex. Recruitment delays, strict eligibility criteria, geographic barriers, protocol amendments and participant drop-out can affect completion. AI and conventional predictive analytics can support site selection, estimate recruitment rates, identify suitable trial locations, match patient records to eligibility criteria and forecast operational risks. NLP can help convert complex inclusion and exclusion criteria into structured fields, while algorithms can screen de-identified records to identify potentially eligible participants for subsequent clinician review [3,7].</w:t>
      </w:r>
    </w:p>
    <w:p w14:paraId="E7F62AE1">
      <w:pPr>
        <w:pStyle w:val="style0"/>
        <w:rPr/>
      </w:pPr>
      <w:r>
        <w:t>Potential benefits include faster feasibility assessments and more targeted outreach. However, electronic health records may be incomplete, inconsistent or out of date; a patient who appears eligible computationally may not meet criteria after clinical review. Automated recruitment can also worsen inequity if training data reflect unequal access to healthcare. Systems should not pressure patients, conceal why they were approached or treat algorithmic eligibility as consent. Recruitment tools need clinician oversight, transparent communications, appropriate ethics review and safeguards against discriminatory exclusion.</w:t>
      </w:r>
    </w:p>
    <w:p w14:paraId="C86B7625">
      <w:pPr>
        <w:pStyle w:val="style2"/>
        <w:rPr/>
      </w:pPr>
      <w:r>
        <w:t>3.6 Clinical data analysis and decision support</w:t>
      </w:r>
    </w:p>
    <w:p w14:paraId="0ADF386B">
      <w:pPr>
        <w:pStyle w:val="style0"/>
        <w:rPr/>
      </w:pPr>
      <w:r>
        <w:t>During trials, AI may assist with data cleaning, anomaly detection, identification of missing values, coding of adverse events, medical-image analysis and integration of data from wearables or other digital health technologies. Models can help identify unusual patterns that merit review and can support risk-based monitoring by directing attention toward sites or data fields with higher likelihood of error. Generative AI may assist researchers with drafting structured documents or summarising information, but outputs must be checked against source records.</w:t>
      </w:r>
    </w:p>
    <w:p w14:paraId="DF26D056">
      <w:pPr>
        <w:pStyle w:val="style0"/>
        <w:rPr/>
      </w:pPr>
      <w:r>
        <w:t>The distinction between assistance and autonomous judgement is critical. A model may identify a statistical anomaly without knowing whether it reflects a true safety event, a data-entry error or an expected clinical variation. Clinical decision-support tools can also produce plausible but incorrect explanations. In regulated research, the audit trail should identify the system used, the version, the data processed, human review and any corrections. Source data, protocol requirements and validated statistical analysis plans remain authoritative.</w:t>
      </w:r>
    </w:p>
    <w:p w14:paraId="8D3C3771">
      <w:pPr>
        <w:pStyle w:val="style2"/>
        <w:rPr/>
      </w:pPr>
      <w:r>
        <w:t>3.7 Pharmacovigilance and post-marketing surveillance</w:t>
      </w:r>
    </w:p>
    <w:p w14:paraId="74338E22">
      <w:pPr>
        <w:pStyle w:val="style0"/>
        <w:rPr/>
      </w:pPr>
      <w:r>
        <w:t>After a medicine is authorised, safety monitoring continues because uncommon adverse effects, interactions or risks in specific populations may only become apparent with broader use. Pharmacovigilance databases contain spontaneous reports, clinical narratives, medical literature, claims and other real-world information. NLP can help extract medicines, symptoms, dates and outcomes from reports, while anomaly-detection methods can prioritise potential safety signals for expert assessment [8].</w:t>
      </w:r>
    </w:p>
    <w:p w14:paraId="78B8E4E1">
      <w:pPr>
        <w:pStyle w:val="style0"/>
        <w:rPr/>
      </w:pPr>
      <w:r>
        <w:t>These methods can help manage large volumes of information and may improve consistency in case processing. Nevertheless, spontaneous reports are affected by under-reporting, duplicate cases, publicity effects, incomplete clinical details and uncertain causal relationships. A signal is not proof that a drug caused an event. Human pharmacovigilance experts must assess temporal relationships, alternative explanations, biological plausibility, exposure patterns and supporting evidence before regulatory or clinical action is taken.</w:t>
      </w:r>
    </w:p>
    <w:p w14:paraId="2149689A">
      <w:pPr>
        <w:pStyle w:val="style2"/>
        <w:rPr/>
      </w:pPr>
      <w:r>
        <w:t>3.8 Evidence of translation into human studies</w:t>
      </w:r>
    </w:p>
    <w:p w14:paraId="E2036B04">
      <w:pPr>
        <w:pStyle w:val="style0"/>
        <w:rPr/>
      </w:pPr>
      <w:r>
        <w:t>An important recent example is the development of a TNIK inhibitor for idiopathic pulmonary fibrosis using generative AI. A randomized phase 2a trial reported in 2025 described safety findings and preliminary efficacy signals for an AI-discovered drug–target combination [9,10]. This is a meaningful demonstration that AI-supported discovery can progress beyond computational predictions into human testing. It does not, however, prove that AI alone caused the outcome or that the method improves success rates across the industry. The candidate also depended on target biology, medicinal chemistry, preclinical testing, trial design and clinical execution.</w:t>
      </w:r>
    </w:p>
    <w:p w14:paraId="3ED77251">
      <w:pPr>
        <w:pStyle w:val="style0"/>
        <w:rPr/>
      </w:pPr>
      <w:r>
        <w:t>More broadly, many AI-originated or AI-assisted candidates remain in preclinical development or early clinical phases. Clinical development takes years, and the number of candidates reaching later-stage trials is still limited. Attribution is difficult because companies may not disclose the full contribution of AI, and conventional methods are often used alongside AI during lead optimisation. The most credible assessment compares AI-supported programmes with appropriate benchmarks and reports time, cost, candidate quality, failure reasons and patient outcomes transparently [3,10].</w:t>
      </w:r>
    </w:p>
    <w:p w14:paraId="82DF4A74">
      <w:pPr>
        <w:pStyle w:val="style1"/>
        <w:rPr/>
      </w:pPr>
      <w:r>
        <w:t>4. Discussion</w:t>
      </w:r>
    </w:p>
    <w:p w14:paraId="24F92D3B">
      <w:pPr>
        <w:pStyle w:val="style2"/>
        <w:rPr/>
      </w:pPr>
      <w:r>
        <w:t>4.1 What the evidence supports</w:t>
      </w:r>
    </w:p>
    <w:p w14:paraId="D8962E3A">
      <w:pPr>
        <w:pStyle w:val="style0"/>
        <w:rPr/>
      </w:pPr>
      <w:r>
        <w:t>The reviewed literature supports a measured conclusion: AI is already useful for selected prediction, prioritisation and information-processing tasks, while evidence of broad improvements in clinical success remains limited. The clearest near-term value may lie in reducing search costs, improving the organisation of complex data and helping teams decide which experiments or records deserve attention. These benefits can be important even when AI does not independently discover a medicine. However, operational efficiency should not be confused with a demonstrated increase in therapeutic efficacy or safety.</w:t>
      </w:r>
    </w:p>
    <w:p w14:paraId="A2105B65">
      <w:pPr>
        <w:pStyle w:val="style0"/>
        <w:rPr/>
      </w:pPr>
      <w:r>
        <w:t>The technology is most likely to add value when the task is clearly defined, relevant data are available, outputs can be checked against an external reference, and the cost of error is understood. A model that ranks compounds for a laboratory team can be useful even if it is not sufficiently reliable to make an autonomous clinical recommendation. Different applications require different validation standards; performance metrics should match the real decision being supported.</w:t>
      </w:r>
    </w:p>
    <w:p w14:paraId="B47DD378">
      <w:pPr>
        <w:pStyle w:val="style2"/>
        <w:rPr/>
      </w:pPr>
      <w:r>
        <w:t>4.2 Data quality, bias and generalisability</w:t>
      </w:r>
    </w:p>
    <w:p w14:paraId="853D43B2">
      <w:pPr>
        <w:pStyle w:val="style0"/>
        <w:rPr/>
      </w:pPr>
      <w:r>
        <w:t>AI performance is constrained by its data. Pharmaceutical datasets may be proprietary, fragmented across departments, inconsistently annotated or dominated by compounds and diseases that were studied most often. Positive results are more likely to be published than negative results, and this can create a distorted view of what works. Clinical datasets may underrepresent older adults, children, pregnant people, minority populations, people with multiple conditions and communities with limited access to care.</w:t>
      </w:r>
    </w:p>
    <w:p w14:paraId="E7034B23">
      <w:pPr>
        <w:pStyle w:val="style0"/>
        <w:rPr/>
      </w:pPr>
      <w:r>
        <w:t>Bias can arise at collection, labelling, model development and deployment. Even a model with strong average accuracy may perform poorly for a subgroup. Developers should assess performance across clinically relevant populations, document missingness, test for distribution shifts and establish processes to investigate failures. Federated learning and privacy-preserving computation may help some organisations collaborate without pooling all raw data, but these methods do not automatically eliminate bias or security risk.</w:t>
      </w:r>
    </w:p>
    <w:p w14:paraId="54A75795">
      <w:pPr>
        <w:pStyle w:val="style2"/>
        <w:rPr/>
      </w:pPr>
      <w:r>
        <w:t>4.3 Validation and reproducibility</w:t>
      </w:r>
    </w:p>
    <w:p w14:paraId="23613373">
      <w:pPr>
        <w:pStyle w:val="style0"/>
        <w:rPr/>
      </w:pPr>
      <w:r>
        <w:t>A common weakness in AI research is reliance on retrospective datasets or benchmark scores that do not reflect actual deployment. Data leakage can occur when information from the test set influences training, directly or indirectly. Repeated tuning against a public benchmark can also make results appear more general than they are. Independent external validation, prospective evaluation and replication by groups other than the model developers are therefore important.</w:t>
      </w:r>
    </w:p>
    <w:p w14:paraId="D97628F6">
      <w:pPr>
        <w:pStyle w:val="style0"/>
        <w:rPr/>
      </w:pPr>
      <w:r>
        <w:t>Reports should describe the intended use, training data, preprocessing, exclusions, model version, performance metrics, uncertainty, failure cases and comparison baseline. For molecular prediction, validation should include chemically distinct compounds and measured outcomes. For clinical tools, evaluation should include workflow effects, subgroup performance, clinician interaction and patient-relevant endpoints. Monitoring must continue after deployment because data and clinical practice change over time.</w:t>
      </w:r>
    </w:p>
    <w:p w14:paraId="39F876A3">
      <w:pPr>
        <w:pStyle w:val="style2"/>
        <w:rPr/>
      </w:pPr>
      <w:r>
        <w:t>4.4 Interpretability and human oversight</w:t>
      </w:r>
    </w:p>
    <w:p w14:paraId="BA3CF955">
      <w:pPr>
        <w:pStyle w:val="style0"/>
        <w:rPr/>
      </w:pPr>
      <w:r>
        <w:t>Some AI models provide limited explanations for their predictions. In drug discovery, interpretability can help researchers understand which molecular features influence a prediction and whether a result is biologically plausible. Yet explanation tools can be misleading if they are unstable or describe associations rather than causal mechanisms. A visually persuasive explanation is not a guarantee that the underlying prediction is correct.</w:t>
      </w:r>
    </w:p>
    <w:p w14:paraId="11CC99FB">
      <w:pPr>
        <w:pStyle w:val="style0"/>
        <w:rPr/>
      </w:pPr>
      <w:r>
        <w:t>Human oversight should be designed into the workflow rather than added as a final checkbox. Scientists must be able to challenge outputs, review source data and override recommendations. Teams should define escalation criteria for uncertain predictions, high-risk decisions and out-of-domain inputs. Human reviewers also need appropriate training: over-reliance on automated suggestions can produce automation bias, while dismissing reliable tools without evaluation can waste potential benefits.</w:t>
      </w:r>
    </w:p>
    <w:p w14:paraId="D7CD979F">
      <w:pPr>
        <w:pStyle w:val="style2"/>
        <w:rPr/>
      </w:pPr>
      <w:r>
        <w:t>4.5 Privacy, cybersecurity and intellectual property</w:t>
      </w:r>
    </w:p>
    <w:p w14:paraId="B9A1ECEE">
      <w:pPr>
        <w:pStyle w:val="style0"/>
        <w:rPr/>
      </w:pPr>
      <w:r>
        <w:t>Clinical records and genomic data can be highly sensitive. AI workflows must comply with applicable privacy, consent, data-protection and research-governance requirements. De-identification reduces risk but does not guarantee anonymity, particularly when datasets contain rare conditions or rich combinations of attributes. Organisations should minimise data collection, restrict access, audit usage and assess vendors and third-party models before transferring confidential information.</w:t>
      </w:r>
    </w:p>
    <w:p w14:paraId="414C478E">
      <w:pPr>
        <w:pStyle w:val="style0"/>
        <w:rPr/>
      </w:pPr>
      <w:r>
        <w:t>Generative systems create additional questions about training-data provenance, ownership of generated molecules, patentability and the possibility of reproducing protected or confidential information. In pharmaceutical research, data lineage and documentation are essential for determining what evidence supported a candidate and whether the process is reproducible. Cybersecurity planning should cover model access, poisoning, data exfiltration and unauthorised changes to validated systems.</w:t>
      </w:r>
    </w:p>
    <w:p w14:paraId="38F10AF8">
      <w:pPr>
        <w:pStyle w:val="style2"/>
        <w:rPr/>
      </w:pPr>
      <w:r>
        <w:t>4.6 Regulation and quality management</w:t>
      </w:r>
    </w:p>
    <w:p w14:paraId="E1030C6F">
      <w:pPr>
        <w:pStyle w:val="style0"/>
        <w:rPr/>
      </w:pPr>
      <w:r>
        <w:t>Regulatory expectations depend on the intended use of the AI system and the consequences of its output. The FDA's 2025 draft guidance describes a risk-based, context-specific approach to assessing AI-generated information used to support regulatory decisions concerning drug and biological products [1]. The FDA has also described good-practice principles for AI across drug development. Such guidance reinforces the need to establish credibility for a specific context of use rather than treating a model as universally valid.</w:t>
      </w:r>
    </w:p>
    <w:p w14:paraId="ADA972FB">
      <w:pPr>
        <w:pStyle w:val="style0"/>
        <w:rPr/>
      </w:pPr>
      <w:r>
        <w:t>In regulated environments, an organisation should document the model lifecycle, data provenance, software changes, validation results, access controls, deviations and human review. Model updates can alter performance, so changes should be assessed under controlled procedures. International harmonisation is important because research and clinical trials commonly cross borders. AI governance should complement existing good laboratory practice, good clinical practice, data-integrity expectations and pharmacovigilance obligations—not replace them.</w:t>
      </w:r>
    </w:p>
    <w:p w14:paraId="A065AB4C">
      <w:pPr>
        <w:pStyle w:val="style2"/>
        <w:rPr/>
      </w:pPr>
      <w:r>
        <w:t>4.7 Ethical and societal implications</w:t>
      </w:r>
    </w:p>
    <w:p w14:paraId="54D00BC8">
      <w:pPr>
        <w:pStyle w:val="style0"/>
        <w:rPr/>
      </w:pPr>
      <w:r>
        <w:t>AI could help identify treatments for neglected diseases, support precision medicine and reduce administrative burdens. It could also concentrate capability in organisations with large datasets and computing resources, increase barriers to entry, or deepen inequities if systems are developed around commercially attractive populations. Access, affordability and representativeness should be considered alongside technical performance.</w:t>
      </w:r>
    </w:p>
    <w:p w14:paraId="0B753710">
      <w:pPr>
        <w:pStyle w:val="style0"/>
        <w:rPr/>
      </w:pPr>
      <w:r>
        <w:t>Ethical implementation requires clear accountability when an AI-supported decision contributes to harm. Patients and research participants should receive appropriate information about how their data are used, and consent processes should be meaningful. Models used in recruitment or care should be assessed for disparate impact. Researchers should avoid overstating what an algorithm has achieved and should disclose limitations, uncertainty and relevant conflicts of interest.</w:t>
      </w:r>
    </w:p>
    <w:p w14:paraId="A9334218">
      <w:pPr>
        <w:pStyle w:val="style2"/>
        <w:rPr/>
      </w:pPr>
      <w:r>
        <w:t>4.8 Recommendations for responsible implementation</w:t>
      </w:r>
    </w:p>
    <w:p w14:paraId="342C1DF0">
      <w:pPr>
        <w:pStyle w:val="style48"/>
        <w:rPr/>
      </w:pPr>
      <w:r>
        <w:t>Define the intended use and decision before choosing an AI method; select endpoints that reflect meaningful scientific, clinical or operational benefit.</w:t>
      </w:r>
    </w:p>
    <w:p w14:paraId="2A4D29F7">
      <w:pPr>
        <w:pStyle w:val="style48"/>
        <w:rPr/>
      </w:pPr>
      <w:r>
        <w:t>Use high-quality, traceable datasets with documented provenance, consistent labels and appropriate representation of relevant populations.</w:t>
      </w:r>
    </w:p>
    <w:p w14:paraId="6C810528">
      <w:pPr>
        <w:pStyle w:val="style48"/>
        <w:rPr/>
      </w:pPr>
      <w:r>
        <w:t>Compare AI-supported workflows with established practice using external validation and, where feasible, prospective studies.</w:t>
      </w:r>
    </w:p>
    <w:p w14:paraId="EBD53C44">
      <w:pPr>
        <w:pStyle w:val="style48"/>
        <w:rPr/>
      </w:pPr>
      <w:r>
        <w:t>Report uncertainty, known failure modes and the population or data domain in which the model has been validated.</w:t>
      </w:r>
    </w:p>
    <w:p w14:paraId="1DD6D9B1">
      <w:pPr>
        <w:pStyle w:val="style48"/>
        <w:rPr/>
      </w:pPr>
      <w:r>
        <w:t>Keep qualified scientists, clinicians, statisticians and regulatory professionals accountable for consequential decisions.</w:t>
      </w:r>
    </w:p>
    <w:p w14:paraId="352788B0">
      <w:pPr>
        <w:pStyle w:val="style48"/>
        <w:rPr/>
      </w:pPr>
      <w:r>
        <w:t>Protect sensitive data through data minimisation, access controls, secure infrastructure and documented governance.</w:t>
      </w:r>
    </w:p>
    <w:p w14:paraId="8EB9001E">
      <w:pPr>
        <w:pStyle w:val="style48"/>
        <w:rPr/>
      </w:pPr>
      <w:r>
        <w:t>Monitor performance after deployment, record model versions and establish procedures for drift, incidents and corrective action.</w:t>
      </w:r>
    </w:p>
    <w:p w14:paraId="78650D98">
      <w:pPr>
        <w:pStyle w:val="style48"/>
        <w:rPr/>
      </w:pPr>
      <w:r>
        <w:t>Publish negative findings and realistic resource estimates to reduce hype and improve reproducibility.</w:t>
      </w:r>
    </w:p>
    <w:p w14:paraId="530D751B">
      <w:pPr>
        <w:pStyle w:val="style1"/>
        <w:rPr/>
      </w:pPr>
      <w:r>
        <w:t>5. Future Perspectives</w:t>
      </w:r>
    </w:p>
    <w:p w14:paraId="EBDC55F7">
      <w:pPr>
        <w:pStyle w:val="style0"/>
        <w:rPr/>
      </w:pPr>
      <w:r>
        <w:t>Future progress is likely to depend less on generating ever-larger models and more on connecting prediction to informative experiments and clinically relevant evidence. AI systems that learn from automated laboratory platforms can propose experiments, analyse results and refine subsequent hypotheses. Such active-learning workflows may reduce unnecessary experiments when the feedback is reliable and the biological question is well specified. Their performance should be evaluated against conventional experimental design, not only against computational benchmarks.</w:t>
      </w:r>
    </w:p>
    <w:p w14:paraId="36229AB0">
      <w:pPr>
        <w:pStyle w:val="style0"/>
        <w:rPr/>
      </w:pPr>
      <w:r>
        <w:t>Multimodal models may integrate chemical structures, protein information, cellular images, omics and clinical outcomes. This could improve biological context, but only if the datasets are sufficiently aligned and the model can handle differences in measurement and population. Better integration of preclinical and clinical evidence may help reveal which laboratory endpoints predict human outcomes. Negative clinical results should also be incorporated where possible, because learning only from successful programmes encourages selection bias.</w:t>
      </w:r>
    </w:p>
    <w:p w14:paraId="91ED51D5">
      <w:pPr>
        <w:pStyle w:val="style0"/>
        <w:rPr/>
      </w:pPr>
      <w:r>
        <w:t>In clinical research, AI may become more useful through narrowly defined and validated tasks such as trial-site feasibility, participant prescreening, quality checks and safety-report processing. Generative AI may support document preparation and literature synthesis, but human verification will remain necessary, particularly where errors could affect participant safety or regulatory submissions. Prospective studies should measure whether these tools improve recruitment diversity, reduce avoidable protocol deviations, shorten timelines or improve data quality without creating new harms.</w:t>
      </w:r>
    </w:p>
    <w:p w14:paraId="02044B31">
      <w:pPr>
        <w:pStyle w:val="style0"/>
        <w:rPr/>
      </w:pPr>
      <w:r>
        <w:t>A central research priority is establishing credible causal links between AI use and outcomes. Studies should distinguish between AI-generated candidates and candidates in which AI played a limited supporting role, and should disclose enough information to permit evaluation. Useful endpoints include the rate of experimentally confirmed hits, the number of compounds required to reach a development candidate, time to decision, attrition by stage, cost per successful milestone, clinical efficacy and safety. Results should be compared with suitable controls and interpreted in the context of therapeutic area and modality.</w:t>
      </w:r>
    </w:p>
    <w:p w14:paraId="84599850">
      <w:pPr>
        <w:pStyle w:val="style1"/>
        <w:rPr/>
      </w:pPr>
      <w:r>
        <w:t>6. Conclusion</w:t>
      </w:r>
    </w:p>
    <w:p w14:paraId="0C363F4C">
      <w:pPr>
        <w:pStyle w:val="style0"/>
        <w:rPr/>
      </w:pPr>
      <w:r>
        <w:t>Artificial intelligence is becoming an important set of tools in drug discovery and clinical research. It can support target prioritisation, molecular design, protein-structure analysis, preclinical prediction, trial planning, clinical-data review and pharmacovigilance. Published work demonstrates technical advances and early translational examples, including an AI-discovered candidate evaluated in a randomized phase 2a trial. Nevertheless, the evidence does not yet justify broad claims that AI reliably transforms drug-development success rates or replaces conventional experimental and clinical methods.</w:t>
      </w:r>
    </w:p>
    <w:p w14:paraId="94311402">
      <w:pPr>
        <w:pStyle w:val="style0"/>
        <w:rPr/>
      </w:pPr>
      <w:r>
        <w:t>The main barriers are not only computational. Data quality, bias, reproducibility, generalisability, interpretability, privacy, regulation and workflow integration determine whether an AI result can be trusted and used responsibly. The strongest path forward combines computational prediction with rigorous experiments, prospective clinical evaluation, transparent reporting and human accountability. Ultimately, AI should be judged by whether it contributes to medicines that are safer, more effective, more affordable and more accessible—not simply by the novelty of its algorithms.</w:t>
      </w:r>
    </w:p>
    <w:p w14:paraId="36A8FD2E">
      <w:pPr>
        <w:pStyle w:val="style1"/>
        <w:rPr/>
      </w:pPr>
      <w:r>
        <w:t>7. Limitations of This Summary</w:t>
      </w:r>
    </w:p>
    <w:p w14:paraId="F24900CF">
      <w:pPr>
        <w:pStyle w:val="style0"/>
        <w:rPr/>
      </w:pPr>
      <w:r>
        <w:t>This paper is a narrative synthesis and does not represent an exhaustive systematic review. It does not include a formal risk-of-bias assessment, quantitative meta-analysis or complete screening log. AI is a fast-moving field, and model capabilities, clinical pipelines and regulatory expectations may change after the search period. Readers should consult the original studies and current regulatory publications before using this summary to support scientific, clinical or regulatory decisions.</w:t>
      </w:r>
    </w:p>
    <w:p w14:paraId="74853E08">
      <w:pPr>
        <w:pStyle w:val="style1"/>
        <w:rPr/>
      </w:pPr>
      <w:r>
        <w:t>References</w:t>
      </w:r>
    </w:p>
    <w:p w14:paraId="CFC65564">
      <w:pPr>
        <w:pStyle w:val="style0"/>
        <w:spacing w:after="100"/>
        <w:ind w:left="317" w:hanging="317"/>
        <w:rPr/>
      </w:pPr>
      <w:r>
        <w:t>1. US Food and Drug Administration. Artificial Intelligence for Drug Development. FDA; updated 2026. Available at: https://www.fda.gov/about-fda/center-drug-evaluation-and-research-cder/artificial-intelligence-drug-development. Accessed 28 October 2026.</w:t>
      </w:r>
    </w:p>
    <w:p w14:paraId="C87EF8E3">
      <w:pPr>
        <w:pStyle w:val="style0"/>
        <w:spacing w:after="100"/>
        <w:ind w:left="317" w:hanging="317"/>
        <w:rPr/>
      </w:pPr>
      <w:r>
        <w:t>2. Zhang K, Yang X, Wang Y, et al. Artificial intelligence in drug development. Nature Medicine. 2025;31:45–59. doi:10.1038/s41591-024-03434-4.</w:t>
      </w:r>
    </w:p>
    <w:p w14:paraId="087A73C4">
      <w:pPr>
        <w:pStyle w:val="style0"/>
        <w:spacing w:after="100"/>
        <w:ind w:left="317" w:hanging="317"/>
        <w:rPr/>
      </w:pPr>
      <w:r>
        <w:t>3. Bender A, Thomas MC, Scannell JW, et al. Artificial intelligence in drug discovery—what it is, where we stand and the path forward. Nature Reviews Drug Discovery. 2026;25:855–876. doi:10.1038/s41573-026-01496-2.</w:t>
      </w:r>
    </w:p>
    <w:p w14:paraId="FFF02412">
      <w:pPr>
        <w:pStyle w:val="style0"/>
        <w:spacing w:after="100"/>
        <w:ind w:left="317" w:hanging="317"/>
        <w:rPr/>
      </w:pPr>
      <w:r>
        <w:t>4. Hasselgren C, Oprea TI. Artificial intelligence for drug discovery: Are we there yet? Annual Review of Pharmacology and Toxicology. 2024;64:527–550. doi:10.1146/annurev-pharmtox-040323-040828.</w:t>
      </w:r>
    </w:p>
    <w:p w14:paraId="7CD0159B">
      <w:pPr>
        <w:pStyle w:val="style0"/>
        <w:spacing w:after="100"/>
        <w:ind w:left="317" w:hanging="317"/>
        <w:rPr/>
      </w:pPr>
      <w:r>
        <w:t>5. Kant S, Deepika, Roy S. Artificial intelligence and machine learning in drug discovery and development: transforming challenges into opportunities. Discover Pharmaceutical Sciences. 2025;1:7. doi:10.1007/s44395-025-00007-3.</w:t>
      </w:r>
    </w:p>
    <w:p w14:paraId="71CB1337">
      <w:pPr>
        <w:pStyle w:val="style0"/>
        <w:spacing w:after="100"/>
        <w:ind w:left="317" w:hanging="317"/>
        <w:rPr/>
      </w:pPr>
      <w:r>
        <w:t>6. Jumper J, Evans R, Pritzel A, et al. Highly accurate protein structure prediction with AlphaFold. Nature. 2021;596:583–589. doi:10.1038/s41586-021-03819-2.</w:t>
      </w:r>
    </w:p>
    <w:p w14:paraId="96BA65C4">
      <w:pPr>
        <w:pStyle w:val="style0"/>
        <w:spacing w:after="100"/>
        <w:ind w:left="317" w:hanging="317"/>
        <w:rPr/>
      </w:pPr>
      <w:r>
        <w:t>7. US Food and Drug Administration. Considerations for the Use of Artificial Intelligence to Support Regulatory Decision-Making for Drug and Biological Products: Draft Guidance for Industry and Other Interested Parties. FDA; January 2025. Available at: https://www.fda.gov/regulatory-information/search-fda-guidance-documents/considerations-use-artificial-intelligence-support-regulatory-decision-making-drug-and-biological-products.</w:t>
      </w:r>
    </w:p>
    <w:p w14:paraId="628899C5">
      <w:pPr>
        <w:pStyle w:val="style0"/>
        <w:spacing w:after="100"/>
        <w:ind w:left="317" w:hanging="317"/>
        <w:rPr/>
      </w:pPr>
      <w:r>
        <w:t>8. Niazi SK, Mariam Z. Artificial intelligence in drug development: reshaping the therapeutic landscape. Therapeutic Advances in Drug Safety. 2025. doi:10.1177/20420986251321704.</w:t>
      </w:r>
    </w:p>
    <w:p w14:paraId="BD430F7C">
      <w:pPr>
        <w:pStyle w:val="style0"/>
        <w:spacing w:after="100"/>
        <w:ind w:left="317" w:hanging="317"/>
        <w:rPr/>
      </w:pPr>
      <w:r>
        <w:t>9. Xu Z, Ren F, Zhavoronkov A, et al. A generative AI-discovered TNIK inhibitor for idiopathic pulmonary fibrosis: a randomized phase 2a trial. Nature Medicine. 2025. See journal record and trial report for full bibliographic details: https://www.nature.com/articles/s41591-025-03897-z.</w:t>
      </w:r>
    </w:p>
    <w:p w14:paraId="8D15DBDA">
      <w:pPr>
        <w:pStyle w:val="style0"/>
        <w:spacing w:after="100"/>
        <w:ind w:left="317" w:hanging="317"/>
        <w:rPr/>
      </w:pPr>
      <w:r>
        <w:t>10. Zitnik M. AI-enabled drug discovery reaches clinical milestone. Nature Medicine. 2025;31:2490–2491. doi:10.1038/s41591-025-03832-2.</w:t>
      </w:r>
    </w:p>
    <w:p w14:paraId="508DE0AD">
      <w:pPr>
        <w:pStyle w:val="style0"/>
        <w:spacing w:after="100"/>
        <w:ind w:left="317" w:hanging="317"/>
        <w:rPr/>
      </w:pPr>
      <w:r>
        <w:t>11. AI-Driven Drug Discovery: A Comprehensive Review. ACS Omega. 2025;10(23):23889–23903. doi:10.1021/acsomega.5c00549.</w:t>
      </w:r>
    </w:p>
    <w:p w14:paraId="041B6369">
      <w:pPr>
        <w:pStyle w:val="style1"/>
        <w:rPr/>
      </w:pPr>
      <w:r>
        <w:t>Appendix A. Suggested evidence appraisal checklist</w:t>
      </w:r>
    </w:p>
    <w:p w14:paraId="95B7A2C2">
      <w:pPr>
        <w:pStyle w:val="style0"/>
        <w:rPr/>
      </w:pPr>
      <w:r>
        <w:t>Before relying on an AI study, readers and reviewers can ask:</w:t>
      </w:r>
    </w:p>
    <w:p w14:paraId="612D9EC7">
      <w:pPr>
        <w:pStyle w:val="style48"/>
        <w:rPr/>
      </w:pPr>
      <w:r>
        <w:t>Is the research question and intended use clearly specified?</w:t>
      </w:r>
    </w:p>
    <w:p w14:paraId="2AC8188D">
      <w:pPr>
        <w:pStyle w:val="style48"/>
        <w:rPr/>
      </w:pPr>
      <w:r>
        <w:t>Are the dataset source, size, exclusions and labels described?</w:t>
      </w:r>
    </w:p>
    <w:p w14:paraId="19A95F48">
      <w:pPr>
        <w:pStyle w:val="style48"/>
        <w:rPr/>
      </w:pPr>
      <w:r>
        <w:t>Was the test set independent, and was data leakage addressed?</w:t>
      </w:r>
    </w:p>
    <w:p w14:paraId="598D4878">
      <w:pPr>
        <w:pStyle w:val="style48"/>
        <w:rPr/>
      </w:pPr>
      <w:r>
        <w:t>Was performance compared with a meaningful baseline?</w:t>
      </w:r>
    </w:p>
    <w:p w14:paraId="D2CC146A">
      <w:pPr>
        <w:pStyle w:val="style48"/>
        <w:rPr/>
      </w:pPr>
      <w:r>
        <w:t>Was the model tested externally or prospectively?</w:t>
      </w:r>
    </w:p>
    <w:p w14:paraId="0D625383">
      <w:pPr>
        <w:pStyle w:val="style48"/>
        <w:rPr/>
      </w:pPr>
      <w:r>
        <w:t>Are subgroup performance, uncertainty and failure modes reported?</w:t>
      </w:r>
    </w:p>
    <w:p w14:paraId="4D26433B">
      <w:pPr>
        <w:pStyle w:val="style48"/>
        <w:rPr/>
      </w:pPr>
      <w:r>
        <w:t>Do the outcomes reflect a real scientific, clinical or operational benefit?</w:t>
      </w:r>
    </w:p>
    <w:p w14:paraId="05D8D013">
      <w:pPr>
        <w:pStyle w:val="style48"/>
        <w:rPr/>
      </w:pPr>
      <w:r>
        <w:t>Are privacy, ethics, conflicts of interest and limitations discussed?</w:t>
      </w:r>
    </w:p>
    <w:p w14:paraId="8DE0848C">
      <w:pPr>
        <w:pStyle w:val="style1"/>
        <w:rPr/>
      </w:pPr>
      <w:r>
        <w:t>Appendix B. Abbreviations</w:t>
      </w:r>
    </w:p>
    <w:p w14:paraId="54DA9578">
      <w:pPr>
        <w:pStyle w:val="style48"/>
        <w:rPr/>
      </w:pPr>
      <w:r>
        <w:t>ADMET — Absorption, distribution, metabolism, excretion and toxicity</w:t>
      </w:r>
    </w:p>
    <w:p w14:paraId="BC274B3B">
      <w:pPr>
        <w:pStyle w:val="style48"/>
        <w:rPr/>
      </w:pPr>
      <w:r>
        <w:t>AI — Artificial intelligence</w:t>
      </w:r>
    </w:p>
    <w:p w14:paraId="DE6C0B45">
      <w:pPr>
        <w:pStyle w:val="style48"/>
        <w:rPr/>
      </w:pPr>
      <w:r>
        <w:t>FDA — US Food and Drug Administration</w:t>
      </w:r>
    </w:p>
    <w:p w14:paraId="E149BDE5">
      <w:pPr>
        <w:pStyle w:val="style48"/>
        <w:rPr/>
      </w:pPr>
      <w:r>
        <w:t>ML — Machine learning</w:t>
      </w:r>
    </w:p>
    <w:p w14:paraId="B80CFB7E">
      <w:pPr>
        <w:pStyle w:val="style48"/>
        <w:rPr/>
      </w:pPr>
      <w:r>
        <w:t>NLP — Natural-language processing</w:t>
      </w:r>
    </w:p>
    <w:p w14:paraId="063FDBFC">
      <w:pPr>
        <w:pStyle w:val="style48"/>
        <w:rPr/>
      </w:pPr>
      <w:r>
        <w:t>TNIK — Traf2- and Nck-interacting kinase</w:t>
      </w:r>
    </w:p>
    <w:sectPr>
      <w:headerReference w:type="default" r:id="rId2"/>
      <w:footerReference w:type="default" r:id="rId3"/>
      <w:pgSz w:w="12240" w:h="15840" w:orient="portrait"/>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48A30AD">
    <w:pPr>
      <w:pStyle w:val="style32"/>
      <w:jc w:val="center"/>
      <w:rPr/>
    </w:pPr>
    <w:r>
      <w:t xml:space="preserve">Academic research summary    •  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CDAD5F2">
    <w:pPr>
      <w:pStyle w:val="style34"/>
      <w:jc w:val="right"/>
      <w:rPr/>
    </w:pPr>
    <w:r>
      <w:t>RESEARCH SUMMARY  |  AI IN DRUG DISCOVERY &amp; CLINICAL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lineRule="auto" w:line="269"/>
    </w:pPr>
    <w:rPr>
      <w:rFonts w:ascii="Calibri" w:hAnsi="Calibri"/>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6f4fc64-fc6c-448b-b718-3eee2730f84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35b9fe57-d5b4-458a-b011-caab086c017e"/>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17365d"/>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2f5597"/>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2f5597"/>
      <w:sz w:val="22"/>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809013bf-9c8c-49fd-ac2f-3fadd55c8df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6e14b70-56e7-4a8e-89b2-3cceb22c1e3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181e6306-4f50-406c-8c52-7ec3e9a2112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7365d"/>
      <w:spacing w:val="5"/>
      <w:kern w:val="28"/>
      <w:sz w:val="50"/>
      <w:szCs w:val="52"/>
    </w:rPr>
  </w:style>
  <w:style w:type="character" w:customStyle="1" w:styleId="style4102">
    <w:name w:val="Title Char_30e82424-273e-49d6-833f-800917a27a8f"/>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4ad2d87-9666-44a2-be8f-9a2db51aedee"/>
    <w:basedOn w:val="style65"/>
    <w:next w:val="style4108"/>
    <w:link w:val="style180"/>
    <w:uiPriority w:val="29"/>
    <w:rPr>
      <w:i/>
      <w:iCs/>
      <w:color w:val="000000"/>
    </w:rPr>
  </w:style>
  <w:style w:type="character" w:customStyle="1" w:styleId="style4109">
    <w:name w:val="Heading 4 Char_1e071092-80a8-4341-a3a9-6e87fa947e56"/>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188fdcc-36df-42ce-8a74-af0dd25936e0"/>
    <w:basedOn w:val="style65"/>
    <w:next w:val="style4110"/>
    <w:link w:val="style5"/>
    <w:uiPriority w:val="9"/>
    <w:rPr>
      <w:rFonts w:ascii="Calibri" w:cs="宋体" w:eastAsia="ＭＳ ゴシック" w:hAnsi="Calibri"/>
      <w:color w:val="243f60"/>
    </w:rPr>
  </w:style>
  <w:style w:type="character" w:customStyle="1" w:styleId="style4111">
    <w:name w:val="Heading 6 Char_4e5cd31a-3620-4e44-85e4-54d5386b3bd5"/>
    <w:basedOn w:val="style65"/>
    <w:next w:val="style4111"/>
    <w:link w:val="style6"/>
    <w:uiPriority w:val="9"/>
    <w:rPr>
      <w:rFonts w:ascii="Calibri" w:cs="宋体" w:eastAsia="ＭＳ ゴシック" w:hAnsi="Calibri"/>
      <w:i/>
      <w:iCs/>
      <w:color w:val="243f60"/>
    </w:rPr>
  </w:style>
  <w:style w:type="character" w:customStyle="1" w:styleId="style4112">
    <w:name w:val="Heading 7 Char_0a712b8f-0b67-4743-be1d-fe3f99e8c19a"/>
    <w:basedOn w:val="style65"/>
    <w:next w:val="style4112"/>
    <w:link w:val="style7"/>
    <w:uiPriority w:val="9"/>
    <w:rPr>
      <w:rFonts w:ascii="Calibri" w:cs="宋体" w:eastAsia="ＭＳ ゴシック" w:hAnsi="Calibri"/>
      <w:i/>
      <w:iCs/>
      <w:color w:val="404040"/>
    </w:rPr>
  </w:style>
  <w:style w:type="character" w:customStyle="1" w:styleId="style4113">
    <w:name w:val="Heading 8 Char_d06af419-26bf-49d7-8db4-8559ebe99723"/>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ebf18fbf-772c-4645-8d19-c8e00be8d26c"/>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8d7d20de-fbe1-4618-83d6-08e09743e2b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4474</Words>
  <Pages>1</Pages>
  <Characters>30457</Characters>
  <Application>WPS Office</Application>
  <DocSecurity>0</DocSecurity>
  <Paragraphs>134</Paragraphs>
  <ScaleCrop>false</ScaleCrop>
  <LinksUpToDate>false</LinksUpToDate>
  <CharactersWithSpaces>34810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CPH2613</lastModifiedBy>
  <dcterms:modified xsi:type="dcterms:W3CDTF">2026-10-28T15:10:34Z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b3884ce624364889a6a74086cb350de6_23</vt:lpwstr>
  </property>
</Properties>
</file>