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B7F8497">
      <w:pPr>
        <w:pStyle w:val="style0"/>
        <w:jc w:val="center"/>
        <w:rPr/>
      </w:pPr>
      <w:r>
        <w:rPr>
          <w:rFonts w:ascii="Calibri" w:hAnsi="Calibri"/>
          <w:b/>
          <w:color w:val="1f4e79"/>
          <w:sz w:val="50"/>
        </w:rPr>
        <w:t>STRATEGIC PLAN FOR</w:t>
      </w:r>
      <w:r>
        <w:rPr>
          <w:rFonts w:ascii="Calibri" w:hAnsi="Calibri"/>
          <w:b/>
          <w:color w:val="1f4e79"/>
          <w:sz w:val="50"/>
        </w:rPr>
        <w:br/>
      </w:r>
      <w:r>
        <w:rPr>
          <w:rFonts w:ascii="Calibri" w:hAnsi="Calibri"/>
          <w:b/>
          <w:color w:val="1f4e79"/>
          <w:sz w:val="50"/>
        </w:rPr>
        <w:t>MEDICAL CONTENT CREATION</w:t>
      </w:r>
    </w:p>
    <w:p w14:paraId="8F5F10E0">
      <w:pPr>
        <w:pStyle w:val="style0"/>
        <w:jc w:val="center"/>
        <w:rPr/>
      </w:pPr>
      <w:r>
        <w:rPr>
          <w:i/>
          <w:sz w:val="26"/>
        </w:rPr>
        <w:t>Evidence-Based, Ethical, Accessible and Audience-Centred Health Communication</w:t>
      </w:r>
    </w:p>
    <w:p w14:paraId="4505D8C5">
      <w:pPr>
        <w:pStyle w:val="style0"/>
        <w:rPr/>
      </w:pPr>
    </w:p>
    <w:p w14:paraId="91A5E6C5">
      <w:pPr>
        <w:pStyle w:val="style0"/>
        <w:jc w:val="center"/>
        <w:rPr/>
      </w:pPr>
      <w:r>
        <w:t xml:space="preserve">Prepared by: </w:t>
      </w:r>
      <w:r>
        <w:rPr>
          <w:lang w:val="en-US"/>
        </w:rPr>
        <w:t xml:space="preserve">Lina Kaushali Jadhav </w:t>
      </w:r>
    </w:p>
    <w:p w14:paraId="FB2865BD">
      <w:pPr>
        <w:pStyle w:val="style0"/>
        <w:jc w:val="center"/>
        <w:rPr/>
      </w:pPr>
      <w:r>
        <w:t>Field: Medical Writing and Health Communication</w:t>
      </w:r>
    </w:p>
    <w:p w14:paraId="0AC1CA47">
      <w:pPr>
        <w:pStyle w:val="style0"/>
        <w:jc w:val="center"/>
        <w:rPr/>
      </w:pPr>
      <w:r>
        <w:t>Planning horizon: 12-week pilot with a 12-month growth roadmap</w:t>
      </w:r>
    </w:p>
    <w:p w14:paraId="F8D2CDED">
      <w:pPr>
        <w:pStyle w:val="style0"/>
        <w:jc w:val="center"/>
        <w:rPr/>
      </w:pPr>
      <w:r>
        <w:t>Date: October 2026</w:t>
      </w:r>
    </w:p>
    <w:p w14:paraId="9BDEF43F">
      <w:pPr>
        <w:pStyle w:val="style0"/>
        <w:rPr/>
      </w:pPr>
      <w:r>
        <w:br w:type="page"/>
      </w:r>
    </w:p>
    <w:p w14:paraId="57756809">
      <w:pPr>
        <w:pStyle w:val="style1"/>
        <w:keepNext/>
        <w:rPr/>
      </w:pPr>
      <w:r>
        <w:t>Executive Summary</w:t>
      </w:r>
    </w:p>
    <w:p w14:paraId="99A7DC8D">
      <w:pPr>
        <w:pStyle w:val="style0"/>
        <w:rPr/>
      </w:pPr>
      <w:r>
        <w:t>This strategic plan proposes a practical, evidence-based system for creating and distributing medical content for both healthcare professionals and the general public. The strategy treats medical content as a public-facing responsibility rather than a simple writing exercise: every item must be scientifically accurate, appropriately sourced, understandable to its intended audience, ethically produced, accessible, and evaluated after publication. The plan covers audience analysis, objectives, topic selection, evidence review, editorial workflows, communication channels, scheduling, quality assurance, risk management, and measurement.</w:t>
      </w:r>
    </w:p>
    <w:p w14:paraId="6C8A751E">
      <w:pPr>
        <w:pStyle w:val="style0"/>
        <w:rPr/>
      </w:pPr>
      <w:r>
        <w:t>The recommended model is a 12-week pilot supported by a multidisciplinary team comprising a medical writer, clinical or subject-matter reviewer, editor, designer, digital publisher, and analytics lead. A single evidence brief will be adapted into multiple formats—such as a professional explainer, a patient-friendly article, an infographic, and a short social post—while retaining consistent facts and references. The proposed content pillars are prevention and health literacy, disease education, medicines and treatment literacy, interpretation of research, public-health updates, and navigating healthcare services. Topic selection will be driven by audience questions, public-health relevance, evidence strength, seasonality, and the potential for content to support safe decisions.</w:t>
      </w:r>
    </w:p>
    <w:p w14:paraId="86403C55">
      <w:pPr>
        <w:pStyle w:val="style0"/>
        <w:rPr/>
      </w:pPr>
      <w:r>
        <w:t>The plan draws on guidance from the World Health Organization (WHO), the US Centers for Disease Control and Prevention (CDC), and the International Committee of Medical Journal Editors (ICMJE). WHO communication principles emphasise relevance, timeliness, credibility, understandability, actionability, audience knowledge, and plain language. The CDC Clear Communication Index provides a research-based framework for checking message clarity, main messages, language, information design, behavioural recommendations, numbers, and risk. ICMJE recommendations support responsible scholarly publication, appropriate authorship, accountability, and disclosure. These resources are used as operational standards rather than as substitutes for clinical judgement or local regulatory review.</w:t>
      </w:r>
    </w:p>
    <w:p w14:paraId="83AC0576">
      <w:pPr>
        <w:pStyle w:val="style0"/>
        <w:rPr/>
      </w:pPr>
      <w:r>
        <w:t>Success will be defined by more than reach. The pilot will aim for a documented source trail for every medical claim, completion of clinical review before release, accessible formats, measurable audience comprehension, reliable publication cadence, and a transparent correction process. The expected outcome is a sustainable content programme that builds trust, supports informed conversations with healthcare professionals, and makes complex evidence easier to understand without exaggerating certainty or replacing individual medical advice.</w:t>
      </w:r>
    </w:p>
    <w:p w14:paraId="10D5C278">
      <w:pPr>
        <w:pStyle w:val="style1"/>
        <w:keepNext/>
        <w:rPr/>
      </w:pPr>
      <w:r>
        <w:t>Table of Contents</w:t>
      </w:r>
    </w:p>
    <w:p w14:paraId="878DAB50">
      <w:pPr>
        <w:pStyle w:val="style0"/>
        <w:rPr/>
      </w:pPr>
      <w:r>
        <w:t>1. Introduction and Rationale</w:t>
      </w:r>
    </w:p>
    <w:p w14:paraId="0E332A39">
      <w:pPr>
        <w:pStyle w:val="style0"/>
        <w:rPr/>
      </w:pPr>
      <w:r>
        <w:t>2. Strategic Aim and Objectives</w:t>
      </w:r>
    </w:p>
    <w:p w14:paraId="724FA9DD">
      <w:pPr>
        <w:pStyle w:val="style0"/>
        <w:rPr/>
      </w:pPr>
      <w:r>
        <w:t>3. Current Trends, Opportunities and Challenges</w:t>
      </w:r>
    </w:p>
    <w:p w14:paraId="75FBD377">
      <w:pPr>
        <w:pStyle w:val="style0"/>
        <w:rPr/>
      </w:pPr>
      <w:r>
        <w:t>4. Target Audience Analysis</w:t>
      </w:r>
    </w:p>
    <w:p w14:paraId="D519245F">
      <w:pPr>
        <w:pStyle w:val="style0"/>
        <w:rPr/>
      </w:pPr>
      <w:r>
        <w:t>5. Content Pillars and Topic Outline</w:t>
      </w:r>
    </w:p>
    <w:p w14:paraId="293610F3">
      <w:pPr>
        <w:pStyle w:val="style0"/>
        <w:rPr/>
      </w:pPr>
      <w:r>
        <w:t>6. Evidence and Research Method</w:t>
      </w:r>
    </w:p>
    <w:p w14:paraId="D26C043F">
      <w:pPr>
        <w:pStyle w:val="style0"/>
        <w:rPr/>
      </w:pPr>
      <w:r>
        <w:t>7. Editorial Workflow and Quality Assurance</w:t>
      </w:r>
    </w:p>
    <w:p w14:paraId="DB638FE4">
      <w:pPr>
        <w:pStyle w:val="style0"/>
        <w:rPr/>
      </w:pPr>
      <w:r>
        <w:t>8. Ethical, Legal and Safety Principles</w:t>
      </w:r>
    </w:p>
    <w:p w14:paraId="74937065">
      <w:pPr>
        <w:pStyle w:val="style0"/>
        <w:rPr/>
      </w:pPr>
      <w:r>
        <w:t>9. Communication Channels and Distribution</w:t>
      </w:r>
    </w:p>
    <w:p w14:paraId="4E5BB29B">
      <w:pPr>
        <w:pStyle w:val="style0"/>
        <w:rPr/>
      </w:pPr>
      <w:r>
        <w:t>10. Twelve-Week Production Schedule</w:t>
      </w:r>
    </w:p>
    <w:p w14:paraId="BF245C42">
      <w:pPr>
        <w:pStyle w:val="style0"/>
        <w:rPr/>
      </w:pPr>
      <w:r>
        <w:t>11. Roles, Responsibilities and Resources</w:t>
      </w:r>
    </w:p>
    <w:p w14:paraId="756B65EC">
      <w:pPr>
        <w:pStyle w:val="style0"/>
        <w:rPr/>
      </w:pPr>
      <w:r>
        <w:t>12. Evaluation Framework and Key Performance Indicators</w:t>
      </w:r>
    </w:p>
    <w:p w14:paraId="892F090E">
      <w:pPr>
        <w:pStyle w:val="style0"/>
        <w:rPr/>
      </w:pPr>
      <w:r>
        <w:t>13. Risk Management and Continuous Improvement</w:t>
      </w:r>
    </w:p>
    <w:p w14:paraId="9B70BE6E">
      <w:pPr>
        <w:pStyle w:val="style0"/>
        <w:rPr/>
      </w:pPr>
      <w:r>
        <w:t>14. Conclusion</w:t>
      </w:r>
    </w:p>
    <w:p w14:paraId="6FF4F8CA">
      <w:pPr>
        <w:pStyle w:val="style0"/>
        <w:rPr/>
      </w:pPr>
      <w:r>
        <w:t>References and Practical Appendices</w:t>
      </w:r>
    </w:p>
    <w:p w14:paraId="7A6E64E1">
      <w:pPr>
        <w:pStyle w:val="style0"/>
        <w:rPr/>
      </w:pPr>
      <w:r>
        <w:br w:type="page"/>
      </w:r>
    </w:p>
    <w:p w14:paraId="4BAA70B7">
      <w:pPr>
        <w:pStyle w:val="style1"/>
        <w:keepNext/>
        <w:rPr/>
      </w:pPr>
      <w:r>
        <w:t>1. Introduction and Rationale</w:t>
      </w:r>
    </w:p>
    <w:p w14:paraId="2E01D7E9">
      <w:pPr>
        <w:pStyle w:val="style0"/>
        <w:rPr/>
      </w:pPr>
      <w:r>
        <w:t>Medical writing translates scientific, clinical, pharmaceutical, and public-health information into content that supports understanding and appropriate action. It includes several related activities: communicating clinical research to professional audiences; explaining diseases and treatments to patients; producing educational resources; developing evidence summaries; and communicating public-health advice. Although these products differ in style and purpose, they share a central obligation: they must not distort the evidence or make the reader believe that a claim is more certain than it is.</w:t>
      </w:r>
    </w:p>
    <w:p w14:paraId="577A61CD">
      <w:pPr>
        <w:pStyle w:val="style0"/>
        <w:rPr/>
      </w:pPr>
      <w:r>
        <w:t>The need for clear medical communication is substantial. Health information is often complex, full of technical terminology, and affected by uncertainty, changing recommendations, differences in individual risk, and the limits of available research. People may encounter conflicting claims on social media, search engines, messaging platforms, and commercial websites. A reader who cannot distinguish a preliminary finding from established guidance may overestimate a treatment’s benefit, underestimate its risks, delay appropriate care, or share misinformation unintentionally. Good medical content therefore helps people ask better questions, understand options, recognise warning signs, and use healthcare services appropriately.</w:t>
      </w:r>
    </w:p>
    <w:p w14:paraId="5BAA5F8A">
      <w:pPr>
        <w:pStyle w:val="style0"/>
        <w:rPr/>
      </w:pPr>
      <w:r>
        <w:t>Effective communication does not mean removing scientific detail indiscriminately. It means selecting the detail that the audience needs and explaining it at the right level. A clinician may need study design, eligibility criteria, effect estimates, limitations, and applicability to practice. A patient may need the main finding, what it means in everyday life, what remains uncertain, and when to contact a qualified healthcare professional. These audiences can be served by a shared evidence base, but they should not receive identical wording or the same depth of technical explanation.</w:t>
      </w:r>
    </w:p>
    <w:p w14:paraId="25BB1D7E">
      <w:pPr>
        <w:pStyle w:val="style0"/>
        <w:rPr/>
      </w:pPr>
      <w:r>
        <w:t>This plan establishes a repeatable process for developing accurate, understandable, and engaging medical content. It proposes a 12-week pilot that can be delivered by a small team and scaled after review. The approach begins with audience needs and a defined communication outcome, proceeds through evidence appraisal and clinical review, and ends with distribution, measurement, correction if necessary, and revision. The plan is designed to be useful for a medical communication team, a healthcare organisation, a health education initiative, or a professional portfolio project. Local laws, organisational policies, professional standards, and relevant regulatory requirements must be checked before publication.</w:t>
      </w:r>
    </w:p>
    <w:p w14:paraId="FF6CAABC">
      <w:pPr>
        <w:pStyle w:val="style0"/>
        <w:rPr/>
      </w:pPr>
      <w:r>
        <w:t>The strategy is informed by WHO’s communication framework, which recommends that communication be relevant, timely, credible, understandable, and actionable. WHO also advises communicators to identify what an audience needs, put the key point first, use familiar words, and make information accessible. The CDC Clear Communication Index provides a structured way to evaluate public-facing materials, including whether the main message is clear and whether language, visual design, numerical information, risk statements, and recommended actions support comprehension. For scholarly content, the ICMJE recommendations provide important principles for authorship, accountability, disclosures, and responsible publication.</w:t>
      </w:r>
    </w:p>
    <w:p w14:paraId="24DD4DC1">
      <w:pPr>
        <w:pStyle w:val="style1"/>
        <w:keepNext/>
        <w:rPr/>
      </w:pPr>
      <w:r>
        <w:t>2. Strategic Aim and Objectives</w:t>
      </w:r>
    </w:p>
    <w:p w14:paraId="0CFD45FF">
      <w:pPr>
        <w:pStyle w:val="style2"/>
        <w:keepNext/>
        <w:rPr/>
      </w:pPr>
      <w:r>
        <w:t>2.1 Overall aim</w:t>
      </w:r>
    </w:p>
    <w:p w14:paraId="AF1573CE">
      <w:pPr>
        <w:pStyle w:val="style0"/>
        <w:rPr/>
      </w:pPr>
      <w:r>
        <w:t>To create and distribute a reliable, inclusive, and measurable portfolio of medical content that converts high-quality evidence into clear, audience-appropriate communication for healthcare professionals and the public, while protecting scientific integrity and reader safety.</w:t>
      </w:r>
    </w:p>
    <w:p w14:paraId="F4EA2E0E">
      <w:pPr>
        <w:pStyle w:val="style2"/>
        <w:keepNext/>
        <w:rPr/>
      </w:pPr>
      <w:r>
        <w:t>2.2 Specific objectives</w:t>
      </w:r>
    </w:p>
    <w:p w14:paraId="07C49139">
      <w:pPr>
        <w:pStyle w:val="style49"/>
        <w:rPr/>
      </w:pPr>
      <w:r>
        <w:t>Accuracy: ensure every substantive medical claim is supported by a traceable, current, reputable source, with important limitations and uncertainty represented fairly.</w:t>
      </w:r>
    </w:p>
    <w:p w14:paraId="125618A2">
      <w:pPr>
        <w:pStyle w:val="style49"/>
        <w:rPr/>
      </w:pPr>
      <w:r>
        <w:t>Clarity: use plain language, clear structure, informative headings, defined technical terms, and concise explanations tailored to the audience’s knowledge and needs.</w:t>
      </w:r>
    </w:p>
    <w:p w14:paraId="ED59FFA6">
      <w:pPr>
        <w:pStyle w:val="style49"/>
        <w:rPr/>
      </w:pPr>
      <w:r>
        <w:t>Audience relevance: identify the questions, barriers, preferred formats, languages, and information needs of each audience before writing.</w:t>
      </w:r>
    </w:p>
    <w:p w14:paraId="5CA87A82">
      <w:pPr>
        <w:pStyle w:val="style49"/>
        <w:rPr/>
      </w:pPr>
      <w:r>
        <w:t>Ethical communication: avoid sensational headlines, unsupported causal claims, misleading comparisons, hidden commercial influence, and content that substitutes for personalised diagnosis or treatment.</w:t>
      </w:r>
    </w:p>
    <w:p w14:paraId="0FFCB67D">
      <w:pPr>
        <w:pStyle w:val="style49"/>
        <w:rPr/>
      </w:pPr>
      <w:r>
        <w:t>Accessibility and inclusion: design content for mobile reading, screen-reader compatibility, varied literacy levels, and, where resources permit, translation into locally relevant languages.</w:t>
      </w:r>
    </w:p>
    <w:p w14:paraId="9DB8F715">
      <w:pPr>
        <w:pStyle w:val="style49"/>
        <w:rPr/>
      </w:pPr>
      <w:r>
        <w:t>Engagement: invite useful questions, encourage safe next steps, and build trust through transparency, consistency, and respectful responses.</w:t>
      </w:r>
    </w:p>
    <w:p w14:paraId="0B211C5E">
      <w:pPr>
        <w:pStyle w:val="style49"/>
        <w:rPr/>
      </w:pPr>
      <w:r>
        <w:t>Efficiency: establish a documented workflow with clear owners, review gates, realistic deadlines, and reusable templates.</w:t>
      </w:r>
    </w:p>
    <w:p w14:paraId="B7A6DE0F">
      <w:pPr>
        <w:pStyle w:val="style49"/>
        <w:rPr/>
      </w:pPr>
      <w:r>
        <w:t>Evaluation: measure quality, comprehension, audience behaviour, and operational reliability—not only impressions, likes, or page views.</w:t>
      </w:r>
    </w:p>
    <w:p w14:paraId="78E3C45F">
      <w:pPr>
        <w:pStyle w:val="style49"/>
        <w:rPr/>
      </w:pPr>
      <w:r>
        <w:t>Continuous improvement: maintain a correction log, review performance regularly, and update content when evidence or official guidance changes.</w:t>
      </w:r>
    </w:p>
    <w:p w14:paraId="9558751B">
      <w:pPr>
        <w:pStyle w:val="style2"/>
        <w:keepNext/>
        <w:rPr/>
      </w:pPr>
      <w:r>
        <w:t>2.3 SMART pilot targets</w:t>
      </w:r>
    </w:p>
    <w:p w14:paraId="31428EBC">
      <w:pPr>
        <w:pStyle w:val="style0"/>
        <w:rPr/>
      </w:pPr>
      <w:r>
        <w:t>Targets below are proposed operational goals, not claims of guaranteed impact. Baselines should be established during the first two weeks and targets adjusted if the team’s capacity or audience research indicates that they are unrealistic.</w:t>
      </w:r>
    </w:p>
    <w:p w14:paraId="86EA7EF5">
      <w:pPr>
        <w:pStyle w:val="style48"/>
        <w:rPr/>
      </w:pPr>
      <w:r>
        <w:t>Publish at least 12 core content assets across the 12-week pilot, with a minimum of one substantial article or evidence explainer each week after the initial setup period.</w:t>
      </w:r>
    </w:p>
    <w:p w14:paraId="12810C07">
      <w:pPr>
        <w:pStyle w:val="style48"/>
        <w:rPr/>
      </w:pPr>
      <w:r>
        <w:t>Complete documented source verification and subject-matter review for 100% of medical content before release.</w:t>
      </w:r>
    </w:p>
    <w:p w14:paraId="94CFCF8D">
      <w:pPr>
        <w:pStyle w:val="style48"/>
        <w:rPr/>
      </w:pPr>
      <w:r>
        <w:t>Attach a review date and named content owner to 100% of assets containing clinical recommendations, treatment information, or time-sensitive guidance.</w:t>
      </w:r>
    </w:p>
    <w:p w14:paraId="1B410327">
      <w:pPr>
        <w:pStyle w:val="style48"/>
        <w:rPr/>
      </w:pPr>
      <w:r>
        <w:t>Use a plain-language and accessibility checklist on every public-facing asset; aim for a score of at least 90% on the relevant CDC Clear Communication Index items where the tool is suitable.</w:t>
      </w:r>
    </w:p>
    <w:p w14:paraId="2DEFDEF1">
      <w:pPr>
        <w:pStyle w:val="style48"/>
        <w:rPr/>
      </w:pPr>
      <w:r>
        <w:t>Run at least four small audience tests or feedback sessions and incorporate documented changes into revised content.</w:t>
      </w:r>
    </w:p>
    <w:p w14:paraId="003A84BF">
      <w:pPr>
        <w:pStyle w:val="style48"/>
        <w:rPr/>
      </w:pPr>
      <w:r>
        <w:t>Correct a confirmed material factual error promptly under a defined escalation process; publish a correction note when the error may have affected reader understanding or decisions.</w:t>
      </w:r>
    </w:p>
    <w:p w14:paraId="B84AABC0">
      <w:pPr>
        <w:pStyle w:val="style48"/>
        <w:rPr/>
      </w:pPr>
      <w:r>
        <w:t>Review channel analytics monthly and make at least two documented improvements based on user behaviour or feedback by the end of the pilot.</w:t>
      </w:r>
    </w:p>
    <w:p w14:paraId="4807DFEE">
      <w:pPr>
        <w:pStyle w:val="style1"/>
        <w:keepNext/>
        <w:rPr/>
      </w:pPr>
      <w:r>
        <w:t>3. Current Trends, Opportunities and Challenges</w:t>
      </w:r>
    </w:p>
    <w:p w14:paraId="6966B073">
      <w:pPr>
        <w:pStyle w:val="style2"/>
        <w:keepNext/>
        <w:rPr/>
      </w:pPr>
      <w:r>
        <w:t>3.1 Important trends</w:t>
      </w:r>
    </w:p>
    <w:p w14:paraId="E10140F2">
      <w:pPr>
        <w:pStyle w:val="style0"/>
        <w:rPr/>
      </w:pPr>
      <w:r>
        <w:t>Medical communication increasingly takes place across multiple formats and platforms. Readers may discover a topic through a short social post, use a search engine to find a detailed article, and later share an infographic with family. This favours a multi-format approach in which one carefully reviewed evidence base is adapted for different channels. Repurposing must not become copy-and-paste distribution: each format requires its own context, length, visual logic, and call to action.</w:t>
      </w:r>
    </w:p>
    <w:p w14:paraId="0CB65494">
      <w:pPr>
        <w:pStyle w:val="style0"/>
        <w:rPr/>
      </w:pPr>
      <w:r>
        <w:t>A second trend is growing attention to health literacy and plain language. The WHO recommends getting to the point quickly, understanding audience needs, using familiar words, breaking complicated information into manageable parts, and making communication actionable. The CDC Clear Communication Index similarly focuses on message clarity, language, design, behavioural recommendations, numbers, and risk. These approaches encourage writers to test whether readers understand content rather than assume that technical correctness automatically creates comprehension.</w:t>
      </w:r>
    </w:p>
    <w:p w14:paraId="2C6C9B9B">
      <w:pPr>
        <w:pStyle w:val="style0"/>
        <w:rPr/>
      </w:pPr>
      <w:r>
        <w:t>A third trend is the need for transparent, evidence-linked content. Readers should be able to distinguish clinical guidelines, systematic reviews, randomised trials, observational studies, expert opinion, and emerging research. Providing source links, dates, limitations, and update information makes the content more auditable. It also helps writers manage changing evidence and avoid presenting one study as definitive proof.</w:t>
      </w:r>
    </w:p>
    <w:p w14:paraId="A1C19D05">
      <w:pPr>
        <w:pStyle w:val="style0"/>
        <w:rPr/>
      </w:pPr>
      <w:r>
        <w:t>A fourth trend is the use of digital tools, including generative artificial intelligence, for planning, summarisation, translation support, headline variations, and editorial checks. Such tools can improve productivity but may invent citations, misstate results, omit caveats, or produce confident language unsupported by evidence. AI must therefore be treated as an assistant, not an authority: all factual claims, references, numerical values, translations, and clinical recommendations require human verification. Sensitive patient information should never be entered into tools unless their use is authorised and privacy requirements are satisfied.</w:t>
      </w:r>
    </w:p>
    <w:p w14:paraId="1DDCF807">
      <w:pPr>
        <w:pStyle w:val="style0"/>
        <w:rPr/>
      </w:pPr>
      <w:r>
        <w:t>A fifth trend is increased attention to accessibility and multilingual communication. Medical content may need to serve readers who use different languages, have low vision, rely on screen readers, use older devices, or have limited data connectivity. Accessible communication is not merely a design preference; it is part of making important health information usable by the people who need it.</w:t>
      </w:r>
    </w:p>
    <w:p w14:paraId="2188E424">
      <w:pPr>
        <w:pStyle w:val="style2"/>
        <w:keepNext/>
        <w:rPr/>
      </w:pPr>
      <w:r>
        <w:t>3.2 Opportunities</w:t>
      </w:r>
    </w:p>
    <w:p w14:paraId="DC2D0C1E">
      <w:pPr>
        <w:pStyle w:val="style48"/>
        <w:rPr/>
      </w:pPr>
      <w:r>
        <w:t>Use audience questions and search patterns to identify topics where accurate explanations can address confusion or unmet information needs.</w:t>
      </w:r>
    </w:p>
    <w:p w14:paraId="31DD3B2A">
      <w:pPr>
        <w:pStyle w:val="style48"/>
        <w:rPr/>
      </w:pPr>
      <w:r>
        <w:t>Create content packages from one approved evidence brief to increase reach without repeatedly researching the same subject.</w:t>
      </w:r>
    </w:p>
    <w:p w14:paraId="95D0DDED">
      <w:pPr>
        <w:pStyle w:val="style48"/>
        <w:rPr/>
      </w:pPr>
      <w:r>
        <w:t>Collaborate with clinicians, pharmacists, nurses, public-health specialists, patient advocates, and community organisations to improve accuracy and relevance.</w:t>
      </w:r>
    </w:p>
    <w:p w14:paraId="77BFE801">
      <w:pPr>
        <w:pStyle w:val="style48"/>
        <w:rPr/>
      </w:pPr>
      <w:r>
        <w:t>Use short videos, illustrations, comparison tables, glossaries, and frequently asked questions to explain complex concepts.</w:t>
      </w:r>
    </w:p>
    <w:p w14:paraId="B1A71620">
      <w:pPr>
        <w:pStyle w:val="style48"/>
        <w:rPr/>
      </w:pPr>
      <w:r>
        <w:t>Build trust by showing sources, publication dates, author/reviewer roles, conflicts of interest, and correction history.</w:t>
      </w:r>
    </w:p>
    <w:p w14:paraId="27F7C3F0">
      <w:pPr>
        <w:pStyle w:val="style48"/>
        <w:rPr/>
      </w:pPr>
      <w:r>
        <w:t>Measure comprehension and usefulness through short surveys, user testing, questions received, and feedback from professional reviewers.</w:t>
      </w:r>
    </w:p>
    <w:p w14:paraId="6F7EC91E">
      <w:pPr>
        <w:pStyle w:val="style2"/>
        <w:keepNext/>
        <w:rPr/>
      </w:pPr>
      <w:r>
        <w:t>3.3 Common challenges</w:t>
      </w:r>
    </w:p>
    <w:p w14:paraId="675A7107">
      <w:pPr>
        <w:pStyle w:val="style0"/>
        <w:rPr/>
      </w:pPr>
      <w:r>
        <w:t>The main challenges are evidence overload, rapidly changing recommendations, misinformation, limited reviewer availability, conflicting stakeholder priorities, low literacy, accessibility gaps, and pressure to publish quickly. Engagement incentives may also reward dramatic claims over balanced reporting. The proposed response is to prioritise evidence quality and safety over speed, define a clear approval pathway, document uncertainty, and establish a correction process. When evidence is inconclusive, the content should say so directly rather than filling the gap with speculation.</w:t>
      </w:r>
    </w:p>
    <w:p w14:paraId="906D434B">
      <w:pPr>
        <w:pStyle w:val="style1"/>
        <w:keepNext/>
        <w:rPr/>
      </w:pPr>
      <w:r>
        <w:t>4. Target Audience Analysis</w:t>
      </w:r>
    </w:p>
    <w:p w14:paraId="B0074D3A">
      <w:pPr>
        <w:pStyle w:val="style0"/>
        <w:rPr/>
      </w:pPr>
      <w:r>
        <w:t>The strategy uses audience segmentation because the same medical facts may require different levels of detail and different calls to action. Audience profiles should be validated through interviews, short surveys, analytics, and feedback rather than treated as permanent assumptions.</w:t>
      </w:r>
    </w:p>
    <w:p w14:paraId="39A9A6DC">
      <w:pPr>
        <w:pStyle w:val="style2"/>
        <w:keepNext/>
        <w:rPr/>
      </w:pPr>
      <w:r>
        <w:t>4.1 Primary audience: general public and patients</w:t>
      </w:r>
    </w:p>
    <w:p w14:paraId="A222FE60">
      <w:pPr>
        <w:pStyle w:val="style0"/>
        <w:rPr/>
      </w:pPr>
      <w:r>
        <w:t>This group includes adults seeking to understand symptoms, prevention, common conditions, screening, medicines, tests, and healthcare navigation. Their medical knowledge, literacy, language, access to care, and digital confidence will vary widely. Their key questions often include: What does this condition mean? What can I do safely? Which symptoms require urgent help? What should I ask my clinician or pharmacist? Content should begin with the main answer, avoid unexplained jargon, explain what is known and unknown, and provide safe next steps. It should not diagnose an individual reader or promise a cure.</w:t>
      </w:r>
    </w:p>
    <w:p w14:paraId="6A61AC6C">
      <w:pPr>
        <w:pStyle w:val="style2"/>
        <w:keepNext/>
        <w:rPr/>
      </w:pPr>
      <w:r>
        <w:t>4.2 Secondary audience: healthcare professionals</w:t>
      </w:r>
    </w:p>
    <w:p w14:paraId="1EB734A0">
      <w:pPr>
        <w:pStyle w:val="style0"/>
        <w:rPr/>
      </w:pPr>
      <w:r>
        <w:t>This group includes doctors, pharmacists, nurses, allied health professionals, researchers, and public-health practitioners. They may need concise summaries of new evidence, mechanisms of disease, medicine safety, guideline updates, interpretation of study findings, and practical implications. Professional content can use technical terminology when appropriate, but it should still be logically organised and transparent about study design, population, endpoints, limitations, conflicts, and applicability. A concise evidence summary should distinguish statistical significance from clinical importance and avoid implying that association proves causation.</w:t>
      </w:r>
    </w:p>
    <w:p w14:paraId="A1B6DD9C">
      <w:pPr>
        <w:pStyle w:val="style2"/>
        <w:keepNext/>
        <w:rPr/>
      </w:pPr>
      <w:r>
        <w:t>4.3 Students and early-career professionals</w:t>
      </w:r>
    </w:p>
    <w:p w14:paraId="C0A60F7F">
      <w:pPr>
        <w:pStyle w:val="style0"/>
        <w:rPr/>
      </w:pPr>
      <w:r>
        <w:t>Medical, pharmacy, nursing, life-science, and public-health students may need foundational explainers, terminology guides, research-method summaries, and examples of how to read a scientific paper. Content should teach transferable skills, such as recognising study design, checking sample size, understanding confidence intervals, and identifying limitations. It should avoid presenting simplified rules as universal truths.</w:t>
      </w:r>
    </w:p>
    <w:p w14:paraId="8EC14B13">
      <w:pPr>
        <w:pStyle w:val="style2"/>
        <w:keepNext/>
        <w:rPr/>
      </w:pPr>
      <w:r>
        <w:t>4.4 Caregivers and community intermediaries</w:t>
      </w:r>
    </w:p>
    <w:p w14:paraId="501AE425">
      <w:pPr>
        <w:pStyle w:val="style0"/>
        <w:rPr/>
      </w:pPr>
      <w:r>
        <w:t>Caregivers, teachers, community health workers, and patient-support groups may help others interpret health information. They benefit from shareable checklists, discussion prompts, plain-language summaries, and links to reputable services. Content should respect the autonomy and privacy of the person receiving care and avoid placing responsibility for complex medical decisions on caregivers alone.</w:t>
      </w:r>
    </w:p>
    <w:p w14:paraId="21AB8B44">
      <w:pPr>
        <w:pStyle w:val="style2"/>
        <w:keepNext/>
        <w:rPr/>
      </w:pPr>
      <w:r>
        <w:t>4.5 Audience research methods</w:t>
      </w:r>
    </w:p>
    <w:p w14:paraId="24724471">
      <w:pPr>
        <w:pStyle w:val="style48"/>
        <w:rPr/>
      </w:pPr>
      <w:r>
        <w:t>Conduct 5–8 short interviews with representative readers or stakeholders before the pilot, subject to consent and privacy safeguards.</w:t>
      </w:r>
    </w:p>
    <w:p w14:paraId="C0B96D4E">
      <w:pPr>
        <w:pStyle w:val="style48"/>
        <w:rPr/>
      </w:pPr>
      <w:r>
        <w:t>Review frequently asked questions, search queries, comments, and support requests to identify recurring misunderstandings.</w:t>
      </w:r>
    </w:p>
    <w:p w14:paraId="5E69C7EA">
      <w:pPr>
        <w:pStyle w:val="style48"/>
        <w:rPr/>
      </w:pPr>
      <w:r>
        <w:t>Use a brief pre-publication comprehension test: ask readers to explain the main message in their own words and identify the recommended next step.</w:t>
      </w:r>
    </w:p>
    <w:p w14:paraId="FFBC327C">
      <w:pPr>
        <w:pStyle w:val="style48"/>
        <w:rPr/>
      </w:pPr>
      <w:r>
        <w:t>Record preferred languages, accessibility needs, device patterns, and preferred channels where this information is volunteered appropriately.</w:t>
      </w:r>
    </w:p>
    <w:p w14:paraId="4AC89C21">
      <w:pPr>
        <w:pStyle w:val="style48"/>
        <w:rPr/>
      </w:pPr>
      <w:r>
        <w:t>Revisit audience profiles quarterly; do not infer sensitive characteristics from analytics or target people using sensitive health data.</w:t>
      </w:r>
    </w:p>
    <w:p w14:paraId="E17244D2">
      <w:pPr>
        <w:pStyle w:val="style1"/>
        <w:keepNext/>
        <w:rPr/>
      </w:pPr>
      <w:r>
        <w:t>5. Content Pillars and Topic Outline</w:t>
      </w:r>
    </w:p>
    <w:p w14:paraId="C026554D">
      <w:pPr>
        <w:pStyle w:val="style0"/>
        <w:rPr/>
      </w:pPr>
      <w:r>
        <w:t>The content calendar should balance evergreen education with timely updates. The six pillars below create a portfolio broad enough to serve both public and professional audiences while allowing each piece to have one primary audience and one primary communication outcome.</w:t>
      </w:r>
    </w:p>
    <w:p w14:paraId="143821B7">
      <w:pPr>
        <w:pStyle w:val="style2"/>
        <w:keepNext/>
        <w:rPr/>
      </w:pPr>
      <w:r>
        <w:t>Pillar 1: Prevention and everyday health literacy</w:t>
      </w:r>
    </w:p>
    <w:p w14:paraId="CAF1B74E">
      <w:pPr>
        <w:pStyle w:val="style48"/>
        <w:rPr/>
      </w:pPr>
      <w:r>
        <w:t>Understanding preventive care, screening, vaccination, and when recommendations differ by age or risk.</w:t>
      </w:r>
    </w:p>
    <w:p w14:paraId="17770A3C">
      <w:pPr>
        <w:pStyle w:val="style48"/>
        <w:rPr/>
      </w:pPr>
      <w:r>
        <w:t>How to prepare for a healthcare appointment and describe symptoms clearly.</w:t>
      </w:r>
    </w:p>
    <w:p w14:paraId="105179A9">
      <w:pPr>
        <w:pStyle w:val="style48"/>
        <w:rPr/>
      </w:pPr>
      <w:r>
        <w:t>How to evaluate health claims, recognise misleading headlines, and check the date and source of online information.</w:t>
      </w:r>
    </w:p>
    <w:p w14:paraId="6A5E578A">
      <w:pPr>
        <w:pStyle w:val="style48"/>
        <w:rPr/>
      </w:pPr>
      <w:r>
        <w:t>Understanding common medical terms used in reports and discharge instructions.</w:t>
      </w:r>
    </w:p>
    <w:p w14:paraId="49D1EA8D">
      <w:pPr>
        <w:pStyle w:val="style2"/>
        <w:keepNext/>
        <w:rPr/>
      </w:pPr>
      <w:r>
        <w:t>Pillar 2: Disease and condition education</w:t>
      </w:r>
    </w:p>
    <w:p w14:paraId="022E2F32">
      <w:pPr>
        <w:pStyle w:val="style48"/>
        <w:rPr/>
      </w:pPr>
      <w:r>
        <w:t>Plain-language explainers covering causes, common symptoms, risk factors, diagnosis, management options, and prevention.</w:t>
      </w:r>
    </w:p>
    <w:p w14:paraId="6100CBC2">
      <w:pPr>
        <w:pStyle w:val="style48"/>
        <w:rPr/>
      </w:pPr>
      <w:r>
        <w:t>Red flags and situations where urgent or emergency care may be needed, reviewed against current local guidance.</w:t>
      </w:r>
    </w:p>
    <w:p w14:paraId="7080E4AB">
      <w:pPr>
        <w:pStyle w:val="style48"/>
        <w:rPr/>
      </w:pPr>
      <w:r>
        <w:t>Living with a long-term condition: questions to ask the care team, follow-up planning, and support resources.</w:t>
      </w:r>
    </w:p>
    <w:p w14:paraId="1C7CD9E1">
      <w:pPr>
        <w:pStyle w:val="style48"/>
        <w:rPr/>
      </w:pPr>
      <w:r>
        <w:t>Separating common symptoms from rare complications without causing unnecessary alarm.</w:t>
      </w:r>
    </w:p>
    <w:p w14:paraId="C2E6EFEB">
      <w:pPr>
        <w:pStyle w:val="style2"/>
        <w:keepNext/>
        <w:rPr/>
      </w:pPr>
      <w:r>
        <w:t>Pillar 3: Medicines and treatment literacy</w:t>
      </w:r>
    </w:p>
    <w:p w14:paraId="00D4E7E4">
      <w:pPr>
        <w:pStyle w:val="style48"/>
        <w:rPr/>
      </w:pPr>
      <w:r>
        <w:t>How to read a medicine label and understand dose, frequency, duration, storage, and warnings.</w:t>
      </w:r>
    </w:p>
    <w:p w14:paraId="6DE42FBF">
      <w:pPr>
        <w:pStyle w:val="style48"/>
        <w:rPr/>
      </w:pPr>
      <w:r>
        <w:t>Why antibiotics should be used only when indicated and according to professional advice.</w:t>
      </w:r>
    </w:p>
    <w:p w14:paraId="23E057DA">
      <w:pPr>
        <w:pStyle w:val="style48"/>
        <w:rPr/>
      </w:pPr>
      <w:r>
        <w:t>Understanding side effects, interactions, adherence, and what to do if a dose is missed—only when supported by authoritative product information or guidance.</w:t>
      </w:r>
    </w:p>
    <w:p w14:paraId="E9134E54">
      <w:pPr>
        <w:pStyle w:val="style48"/>
        <w:rPr/>
      </w:pPr>
      <w:r>
        <w:t>How to discuss over-the-counter products, supplements, pregnancy, allergies, and other medicines with a pharmacist or clinician.</w:t>
      </w:r>
    </w:p>
    <w:p w14:paraId="E07606B9">
      <w:pPr>
        <w:pStyle w:val="style48"/>
        <w:rPr/>
      </w:pPr>
      <w:r>
        <w:t>Explaining treatment benefits and risks using absolute numbers when reliable data are available.</w:t>
      </w:r>
    </w:p>
    <w:p w14:paraId="6DA4BFB0">
      <w:pPr>
        <w:pStyle w:val="style2"/>
        <w:keepNext/>
        <w:rPr/>
      </w:pPr>
      <w:r>
        <w:t>Pillar 4: Research and evidence explained</w:t>
      </w:r>
    </w:p>
    <w:p w14:paraId="BB3F60D5">
      <w:pPr>
        <w:pStyle w:val="style48"/>
        <w:rPr/>
      </w:pPr>
      <w:r>
        <w:t>Randomised trials, cohort studies, case-control studies, systematic reviews, and clinical guidelines: what each can and cannot show.</w:t>
      </w:r>
    </w:p>
    <w:p w14:paraId="651A36E3">
      <w:pPr>
        <w:pStyle w:val="style48"/>
        <w:rPr/>
      </w:pPr>
      <w:r>
        <w:t>Relative risk versus absolute risk, confidence intervals, p-values, and the difference between statistical and clinical significance.</w:t>
      </w:r>
    </w:p>
    <w:p w14:paraId="4FEC46B5">
      <w:pPr>
        <w:pStyle w:val="style48"/>
        <w:rPr/>
      </w:pPr>
      <w:r>
        <w:t>How to read an abstract without treating it as a complete assessment of a study.</w:t>
      </w:r>
    </w:p>
    <w:p w14:paraId="60E08272">
      <w:pPr>
        <w:pStyle w:val="style48"/>
        <w:rPr/>
      </w:pPr>
      <w:r>
        <w:t>Why a single preliminary study should not automatically change clinical practice.</w:t>
      </w:r>
    </w:p>
    <w:p w14:paraId="D589A512">
      <w:pPr>
        <w:pStyle w:val="style48"/>
        <w:rPr/>
      </w:pPr>
      <w:r>
        <w:t>How to recognise limitations, conflicts of interest, and uncertainty in scientific reporting.</w:t>
      </w:r>
    </w:p>
    <w:p w14:paraId="66DAE6B6">
      <w:pPr>
        <w:pStyle w:val="style2"/>
        <w:keepNext/>
        <w:rPr/>
      </w:pPr>
      <w:r>
        <w:t>Pillar 5: Public-health updates and seasonal topics</w:t>
      </w:r>
    </w:p>
    <w:p w14:paraId="96DA52B0">
      <w:pPr>
        <w:pStyle w:val="style48"/>
        <w:rPr/>
      </w:pPr>
      <w:r>
        <w:t>Seasonal infection prevention, heat safety, air quality, hydration, and other locally relevant public-health themes.</w:t>
      </w:r>
    </w:p>
    <w:p w14:paraId="8599B309">
      <w:pPr>
        <w:pStyle w:val="style48"/>
        <w:rPr/>
      </w:pPr>
      <w:r>
        <w:t>Evidence-based communication during outbreaks or emergencies, including what is known, what remains uncertain, and when the next update is expected.</w:t>
      </w:r>
    </w:p>
    <w:p w14:paraId="9D3CFE75">
      <w:pPr>
        <w:pStyle w:val="style48"/>
        <w:rPr/>
      </w:pPr>
      <w:r>
        <w:t>Public-health announcements translated into clear actions and linked to official sources.</w:t>
      </w:r>
    </w:p>
    <w:p w14:paraId="7684BE27">
      <w:pPr>
        <w:pStyle w:val="style48"/>
        <w:rPr/>
      </w:pPr>
      <w:r>
        <w:t>Corrections to common myths when there is a strong public-health reason and adequate evidence to address them.</w:t>
      </w:r>
    </w:p>
    <w:p w14:paraId="F889F818">
      <w:pPr>
        <w:pStyle w:val="style2"/>
        <w:keepNext/>
        <w:rPr/>
      </w:pPr>
      <w:r>
        <w:t>Pillar 6: Healthcare navigation and shared decision-making</w:t>
      </w:r>
    </w:p>
    <w:p w14:paraId="409C999B">
      <w:pPr>
        <w:pStyle w:val="style48"/>
        <w:rPr/>
      </w:pPr>
      <w:r>
        <w:t>How to prepare questions before a consultation and clarify the purpose of a test.</w:t>
      </w:r>
    </w:p>
    <w:p w14:paraId="EA703015">
      <w:pPr>
        <w:pStyle w:val="style48"/>
        <w:rPr/>
      </w:pPr>
      <w:r>
        <w:t>Understanding referrals, follow-up, second opinions, and the role of different healthcare professionals.</w:t>
      </w:r>
    </w:p>
    <w:p w14:paraId="FFB49EFA">
      <w:pPr>
        <w:pStyle w:val="style48"/>
        <w:rPr/>
      </w:pPr>
      <w:r>
        <w:t>Questions patients can ask about benefits, risks, alternatives, costs, and the consequences of waiting.</w:t>
      </w:r>
    </w:p>
    <w:p w14:paraId="2EE64878">
      <w:pPr>
        <w:pStyle w:val="style48"/>
        <w:rPr/>
      </w:pPr>
      <w:r>
        <w:t>How to keep a medication list and bring relevant reports to an appointment.</w:t>
      </w:r>
    </w:p>
    <w:p w14:paraId="A479D9EF">
      <w:pPr>
        <w:pStyle w:val="style2"/>
        <w:keepNext/>
        <w:rPr/>
      </w:pPr>
      <w:r>
        <w:t>5.1 Content formats</w:t>
      </w:r>
    </w:p>
    <w:p w14:paraId="FCB00B9A">
      <w:pPr>
        <w:pStyle w:val="style0"/>
        <w:rPr/>
      </w:pPr>
      <w:r>
        <w:t>Each topic should be assigned a format based on its purpose. A detailed article is appropriate for a topic requiring nuance; an infographic can summarise a short process or comparison; a video may demonstrate a practical skill; a carousel can break down a multi-step explanation; and a professional evidence brief can support rapid review by clinicians. Short formats should direct readers to the full explanation rather than compressing important safety information until it becomes misleading.</w:t>
      </w:r>
    </w:p>
    <w:p w14:paraId="1A006A67">
      <w:pPr>
        <w:pStyle w:val="style2"/>
        <w:keepNext/>
        <w:rPr/>
      </w:pPr>
      <w:r>
        <w:t>5.2 Topic prioritisation</w:t>
      </w:r>
    </w:p>
    <w:p w14:paraId="12B06624">
      <w:pPr>
        <w:pStyle w:val="style0"/>
        <w:rPr/>
      </w:pPr>
      <w:r>
        <w:t>Score each proposed topic from 1 to 5 against five factors: public-health relevance, audience demand, evidence strength, timeliness, and feasibility. Multiply each score by a weighting agreed by the team—for example, relevance 30%, evidence strength 25%, audience demand 20%, timeliness 15%, and feasibility 10%. A topic with high audience demand but weak or conflicting evidence should not be framed as a firm recommendation. It may instead become an explainer about what is and is not known.</w:t>
      </w:r>
    </w:p>
    <w:p w14:paraId="69A2543E">
      <w:pPr>
        <w:pStyle w:val="style1"/>
        <w:keepNext/>
        <w:rPr/>
      </w:pPr>
      <w:r>
        <w:t>6. Evidence and Research Method</w:t>
      </w:r>
    </w:p>
    <w:p w14:paraId="B4C88B18">
      <w:pPr>
        <w:pStyle w:val="style2"/>
        <w:keepNext/>
        <w:rPr/>
      </w:pPr>
      <w:r>
        <w:t>6.1 Source hierarchy</w:t>
      </w:r>
    </w:p>
    <w:p w14:paraId="34DC7A60">
      <w:pPr>
        <w:pStyle w:val="style0"/>
        <w:rPr/>
      </w:pPr>
      <w:r>
        <w:t>Research should start with the most authoritative source suited to the question. For current clinical recommendations, consult relevant government health departments, recognised public-health agencies, professional society guidelines, and current product information where appropriate. For treatment effectiveness or harms, look for high-quality systematic reviews and well-designed clinical trials, while checking whether the population and intervention match the question. Original studies may be necessary, but their findings should be interpreted within their design and limitations. Reputable medical journals are valuable sources, but publication in a journal does not by itself make a conclusion definitive.</w:t>
      </w:r>
    </w:p>
    <w:p w14:paraId="7467C3E8">
      <w:pPr>
        <w:pStyle w:val="style48"/>
        <w:rPr/>
      </w:pPr>
      <w:r>
        <w:t>Level 1: current clinical practice guidelines, official public-health recommendations, systematic reviews, and meta-analyses with transparent methods.</w:t>
      </w:r>
    </w:p>
    <w:p w14:paraId="8262D97D">
      <w:pPr>
        <w:pStyle w:val="style48"/>
        <w:rPr/>
      </w:pPr>
      <w:r>
        <w:t>Level 2: well-designed randomised controlled trials and strong observational studies relevant to the question.</w:t>
      </w:r>
    </w:p>
    <w:p w14:paraId="5AC40F9A">
      <w:pPr>
        <w:pStyle w:val="style48"/>
        <w:rPr/>
      </w:pPr>
      <w:r>
        <w:t>Level 3: specialist consensus statements, reputable academic reviews, and established textbooks for background context.</w:t>
      </w:r>
    </w:p>
    <w:p w14:paraId="D4EBA2DC">
      <w:pPr>
        <w:pStyle w:val="style48"/>
        <w:rPr/>
      </w:pPr>
      <w:r>
        <w:t>Level 4: expert commentary or reputable news reporting, used mainly for context and discovery—not as the sole support for clinical claims.</w:t>
      </w:r>
    </w:p>
    <w:p w14:paraId="DA7E7AA5">
      <w:pPr>
        <w:pStyle w:val="style48"/>
        <w:rPr/>
      </w:pPr>
      <w:r>
        <w:t>Do not rely on anonymous posts, unverified social-media claims, commercial promotional pages, or search snippets as evidence for medical advice.</w:t>
      </w:r>
    </w:p>
    <w:p w14:paraId="60A03707">
      <w:pPr>
        <w:pStyle w:val="style2"/>
        <w:keepNext/>
        <w:rPr/>
      </w:pPr>
      <w:r>
        <w:t>6.2 Research workflow</w:t>
      </w:r>
    </w:p>
    <w:p w14:paraId="6E788555">
      <w:pPr>
        <w:pStyle w:val="style49"/>
        <w:rPr/>
      </w:pPr>
      <w:r>
        <w:t>Define the question and intended action. Write one sentence explaining what the reader should understand or be able to do after reading.</w:t>
      </w:r>
    </w:p>
    <w:p w14:paraId="46903CBB">
      <w:pPr>
        <w:pStyle w:val="style49"/>
        <w:rPr/>
      </w:pPr>
      <w:r>
        <w:t>Set the scope. Specify population, condition, intervention or exposure, comparator if relevant, outcomes, geography, and date range.</w:t>
      </w:r>
    </w:p>
    <w:p w14:paraId="8FDAA7A2">
      <w:pPr>
        <w:pStyle w:val="style49"/>
        <w:rPr/>
      </w:pPr>
      <w:r>
        <w:t>Search systematically. Use trusted sources such as WHO, national health agencies, PubMed/MEDLINE, Cochrane Library, professional guidelines, and relevant journal sites.</w:t>
      </w:r>
    </w:p>
    <w:p w14:paraId="64C44F34">
      <w:pPr>
        <w:pStyle w:val="style49"/>
        <w:rPr/>
      </w:pPr>
      <w:r>
        <w:t>Screen sources for relevance, date, methods, population, conflicts of interest, and consistency with other evidence.</w:t>
      </w:r>
    </w:p>
    <w:p w14:paraId="6BA5C631">
      <w:pPr>
        <w:pStyle w:val="style49"/>
        <w:rPr/>
      </w:pPr>
      <w:r>
        <w:t>Extract claims into an evidence table. Record the claim, source title, author or organisation, publication/update date, study design, population, result, limitation, and URL or DOI.</w:t>
      </w:r>
    </w:p>
    <w:p w14:paraId="9E986A5C">
      <w:pPr>
        <w:pStyle w:val="style49"/>
        <w:rPr/>
      </w:pPr>
      <w:r>
        <w:t>Cross-check numerical claims and quotations against the original source. Verify units, denominators, time periods, and whether the result is relative or absolute.</w:t>
      </w:r>
    </w:p>
    <w:p w14:paraId="49AC3E7E">
      <w:pPr>
        <w:pStyle w:val="style49"/>
        <w:rPr/>
      </w:pPr>
      <w:r>
        <w:t>Draft with calibrated language. Use wording such as 'the study found', 'may be associated with', or 'evidence remains uncertain' when warranted.</w:t>
      </w:r>
    </w:p>
    <w:p w14:paraId="1EE832BA">
      <w:pPr>
        <w:pStyle w:val="style49"/>
        <w:rPr/>
      </w:pPr>
      <w:r>
        <w:t>Have a qualified subject-matter reviewer check clinical meaning, safety, and interpretation before publication.</w:t>
      </w:r>
    </w:p>
    <w:p w14:paraId="3FC93965">
      <w:pPr>
        <w:pStyle w:val="style49"/>
        <w:rPr/>
      </w:pPr>
      <w:r>
        <w:t>Archive the final source list, review comments, approved version, and next review date.</w:t>
      </w:r>
    </w:p>
    <w:p w14:paraId="9D5FA11A">
      <w:pPr>
        <w:pStyle w:val="style2"/>
        <w:keepNext/>
        <w:rPr/>
      </w:pPr>
      <w:r>
        <w:t>6.3 Managing evidence uncertainty</w:t>
      </w:r>
    </w:p>
    <w:p w14:paraId="587353C7">
      <w:pPr>
        <w:pStyle w:val="style0"/>
        <w:rPr/>
      </w:pPr>
      <w:r>
        <w:t>The writer should explicitly distinguish established evidence, emerging findings, conflicting evidence, and areas where evidence is absent. Observational associations should not be described as proof of causation unless the evidence supports that inference. Small studies, surrogate endpoints, short follow-up, selective populations, and industry funding may affect how confidently results can be applied. If credible sources disagree, the content should describe the disagreement, explain why recommendations differ where possible, and avoid presenting a false consensus. Any numerical estimate should include its context and time frame.</w:t>
      </w:r>
    </w:p>
    <w:p w14:paraId="021229A2">
      <w:pPr>
        <w:pStyle w:val="style1"/>
        <w:keepNext/>
        <w:rPr/>
      </w:pPr>
      <w:r>
        <w:t>7. Editorial Workflow and Quality Assurance</w:t>
      </w:r>
    </w:p>
    <w:p w14:paraId="F5B0FA1A">
      <w:pPr>
        <w:pStyle w:val="style0"/>
        <w:rPr/>
      </w:pPr>
      <w:r>
        <w:t>A consistent workflow protects quality while making production predictable. Every asset should have a content brief, a named owner, a planned audience, a primary message, a source file, review records, a publication date, and a review date.</w:t>
      </w:r>
    </w:p>
    <w:p w14:paraId="34529098">
      <w:pPr>
        <w:pStyle w:val="style2"/>
        <w:keepNext/>
        <w:rPr/>
      </w:pPr>
      <w:r>
        <w:t>7.1 Standard production stages</w:t>
      </w:r>
    </w:p>
    <w:p w14:paraId="61F2BF7A">
      <w:pPr>
        <w:pStyle w:val="style49"/>
        <w:rPr/>
      </w:pPr>
      <w:r>
        <w:t>Commissioning: the content lead confirms the audience, objective, format, urgency, and topic priority.</w:t>
      </w:r>
    </w:p>
    <w:p w14:paraId="AF6D6F30">
      <w:pPr>
        <w:pStyle w:val="style49"/>
        <w:rPr/>
      </w:pPr>
      <w:r>
        <w:t>Briefing: the writer prepares a short brief with the main message, intended action, audience profile, key questions, word count, and exclusions.</w:t>
      </w:r>
    </w:p>
    <w:p w14:paraId="4E0FB0A8">
      <w:pPr>
        <w:pStyle w:val="style49"/>
        <w:rPr/>
      </w:pPr>
      <w:r>
        <w:t>Research: the writer builds an evidence table and drafts an outline before writing the full piece.</w:t>
      </w:r>
    </w:p>
    <w:p w14:paraId="7FDF6A46">
      <w:pPr>
        <w:pStyle w:val="style49"/>
        <w:rPr/>
      </w:pPr>
      <w:r>
        <w:t>Drafting: the writer prepares a structured draft with clear headings, accurate references, a balanced explanation of benefits and risks, and an appropriate call to action.</w:t>
      </w:r>
    </w:p>
    <w:p w14:paraId="92902992">
      <w:pPr>
        <w:pStyle w:val="style49"/>
        <w:rPr/>
      </w:pPr>
      <w:r>
        <w:t>Medical review: a qualified clinician, pharmacist, researcher, or other relevant expert checks facts, terminology, clinical interpretation, and safety statements.</w:t>
      </w:r>
    </w:p>
    <w:p w14:paraId="2D30BE8B">
      <w:pPr>
        <w:pStyle w:val="style49"/>
        <w:rPr/>
      </w:pPr>
      <w:r>
        <w:t>Editorial and accessibility review: an editor checks readability, tone, grammar, consistency, bias, inclusive language, links, headings, image descriptions, and layout.</w:t>
      </w:r>
    </w:p>
    <w:p w14:paraId="5576F78C">
      <w:pPr>
        <w:pStyle w:val="style49"/>
        <w:rPr/>
      </w:pPr>
      <w:r>
        <w:t>Approval: the accountable content owner confirms that comments are resolved and the correct version is approved.</w:t>
      </w:r>
    </w:p>
    <w:p w14:paraId="EF7DF33D">
      <w:pPr>
        <w:pStyle w:val="style49"/>
        <w:rPr/>
      </w:pPr>
      <w:r>
        <w:t>Publication and distribution: the publisher checks links, formatting, metadata, captions, alt text, disclaimers, and channel-specific adaptations.</w:t>
      </w:r>
    </w:p>
    <w:p w14:paraId="C7F8BED4">
      <w:pPr>
        <w:pStyle w:val="style49"/>
        <w:rPr/>
      </w:pPr>
      <w:r>
        <w:t>Monitoring and maintenance: the team tracks feedback, records corrections, and reviews content at the scheduled date or earlier if guidance changes.</w:t>
      </w:r>
    </w:p>
    <w:p w14:paraId="478027D7">
      <w:pPr>
        <w:pStyle w:val="style2"/>
        <w:keepNext/>
        <w:rPr/>
      </w:pPr>
      <w:r>
        <w:t>7.2 Quality-control checklist</w:t>
      </w:r>
    </w:p>
    <w:p w14:paraId="38E92DCD">
      <w:pPr>
        <w:pStyle w:val="style48"/>
        <w:rPr/>
      </w:pPr>
      <w:r>
        <w:t>Is the main message visible early and consistent with the evidence?</w:t>
      </w:r>
    </w:p>
    <w:p w14:paraId="AF598D82">
      <w:pPr>
        <w:pStyle w:val="style48"/>
        <w:rPr/>
      </w:pPr>
      <w:r>
        <w:t>Does each important medical claim have a traceable source?</w:t>
      </w:r>
    </w:p>
    <w:p w14:paraId="2369C73A">
      <w:pPr>
        <w:pStyle w:val="style48"/>
        <w:rPr/>
      </w:pPr>
      <w:r>
        <w:t>Are publication dates, statistics, doses, units, and quoted findings verified?</w:t>
      </w:r>
    </w:p>
    <w:p w14:paraId="7E86E22B">
      <w:pPr>
        <w:pStyle w:val="style48"/>
        <w:rPr/>
      </w:pPr>
      <w:r>
        <w:t>Are benefits, risks, uncertainty, limitations, and relevant alternatives represented fairly?</w:t>
      </w:r>
    </w:p>
    <w:p w14:paraId="2646CEEC">
      <w:pPr>
        <w:pStyle w:val="style48"/>
        <w:rPr/>
      </w:pPr>
      <w:r>
        <w:t>Are recommendations appropriate for the stated audience and jurisdiction?</w:t>
      </w:r>
    </w:p>
    <w:p w14:paraId="8C23B942">
      <w:pPr>
        <w:pStyle w:val="style48"/>
        <w:rPr/>
      </w:pPr>
      <w:r>
        <w:t>Is the language understandable without sacrificing necessary precision?</w:t>
      </w:r>
    </w:p>
    <w:p w14:paraId="B383464E">
      <w:pPr>
        <w:pStyle w:val="style48"/>
        <w:rPr/>
      </w:pPr>
      <w:r>
        <w:t>Are headings descriptive, paragraphs manageable, and visuals meaningful rather than decorative?</w:t>
      </w:r>
    </w:p>
    <w:p w14:paraId="375346C5">
      <w:pPr>
        <w:pStyle w:val="style48"/>
        <w:rPr/>
      </w:pPr>
      <w:r>
        <w:t>Are links functional and are image permissions, attribution, and licensing documented?</w:t>
      </w:r>
    </w:p>
    <w:p w14:paraId="2644B97C">
      <w:pPr>
        <w:pStyle w:val="style48"/>
        <w:rPr/>
      </w:pPr>
      <w:r>
        <w:t>Are conflicts of interest, funding, author roles, and any required disclosures handled transparently?</w:t>
      </w:r>
    </w:p>
    <w:p w14:paraId="0FA8CFC8">
      <w:pPr>
        <w:pStyle w:val="style48"/>
        <w:rPr/>
      </w:pPr>
      <w:r>
        <w:t>Does the content avoid diagnosing the reader, guaranteeing outcomes, or discouraging appropriate professional care?</w:t>
      </w:r>
    </w:p>
    <w:p w14:paraId="03D33724">
      <w:pPr>
        <w:pStyle w:val="style48"/>
        <w:rPr/>
      </w:pPr>
      <w:r>
        <w:t>Is the content accessible on mobile devices and to people using assistive technology?</w:t>
      </w:r>
    </w:p>
    <w:p w14:paraId="975A391B">
      <w:pPr>
        <w:pStyle w:val="style48"/>
        <w:rPr/>
      </w:pPr>
      <w:r>
        <w:t>Is the owner, approval status, publication date, and next review date recorded?</w:t>
      </w:r>
    </w:p>
    <w:p w14:paraId="CBBD8388">
      <w:pPr>
        <w:pStyle w:val="style2"/>
        <w:keepNext/>
        <w:rPr/>
      </w:pPr>
      <w:r>
        <w:t>7.3 Version control and corrections</w:t>
      </w:r>
    </w:p>
    <w:p w14:paraId="F2E6901F">
      <w:pPr>
        <w:pStyle w:val="style0"/>
        <w:rPr/>
      </w:pPr>
      <w:r>
        <w:t>Use a central content register with unique asset IDs and version numbers. Keep the approved version, references, reviewer comments, and correction history together. If an error is suspected, the content owner should triage it promptly: pause promotion or temporarily remove high-risk material if necessary, consult the subject-matter reviewer, correct the item, document the change, and communicate the correction when the original error could materially mislead readers. Updates that change a recommendation should be dated and explained. Silent edits may be suitable for minor typographical fixes, but not for substantive medical changes.</w:t>
      </w:r>
    </w:p>
    <w:p w14:paraId="219517D5">
      <w:pPr>
        <w:pStyle w:val="style1"/>
        <w:keepNext/>
        <w:rPr/>
      </w:pPr>
      <w:r>
        <w:t>8. Ethical, Legal and Safety Principles</w:t>
      </w:r>
    </w:p>
    <w:p w14:paraId="98DA9774">
      <w:pPr>
        <w:pStyle w:val="style2"/>
        <w:keepNext/>
        <w:rPr/>
      </w:pPr>
      <w:r>
        <w:t>8.1 Accuracy, balance and reader safety</w:t>
      </w:r>
    </w:p>
    <w:p w14:paraId="0B0AB6EE">
      <w:pPr>
        <w:pStyle w:val="style0"/>
        <w:rPr/>
      </w:pPr>
      <w:r>
        <w:t>The first ethical requirement is not to overstate what the evidence supports. Headlines must not imply that a treatment is a cure when evidence shows only a possible benefit, or that an association proves cause and effect. Risks should be presented in context, with absolute numbers where reliable and understandable. Content should make clear when readers should seek urgent care, but emergency advice must be aligned with current local guidance and reviewed by an appropriate professional. A general educational disclaimer cannot repair unsafe or misleading content.</w:t>
      </w:r>
    </w:p>
    <w:p w14:paraId="2B96EBCC">
      <w:pPr>
        <w:pStyle w:val="style2"/>
        <w:keepNext/>
        <w:rPr/>
      </w:pPr>
      <w:r>
        <w:t>8.2 Privacy and consent</w:t>
      </w:r>
    </w:p>
    <w:p w14:paraId="984E1ADB">
      <w:pPr>
        <w:pStyle w:val="style0"/>
        <w:rPr/>
      </w:pPr>
      <w:r>
        <w:t>Do not publish identifiable patient information, photographs, clinical histories, or testimonials without a lawful basis and appropriate informed consent. Remove unnecessary identifiers from case examples, and recognise that combinations of details can make a person identifiable even if a name is omitted. Follow applicable data-protection requirements and organisational policies. Do not use confidential patient information in AI systems or third-party platforms unless explicitly authorised and compliant with privacy obligations.</w:t>
      </w:r>
    </w:p>
    <w:p w14:paraId="09C6E5D7">
      <w:pPr>
        <w:pStyle w:val="style2"/>
        <w:keepNext/>
        <w:rPr/>
      </w:pPr>
      <w:r>
        <w:t>8.3 Conflicts of interest and commercial influence</w:t>
      </w:r>
    </w:p>
    <w:p w14:paraId="B56FD337">
      <w:pPr>
        <w:pStyle w:val="style0"/>
        <w:rPr/>
      </w:pPr>
      <w:r>
        <w:t>Funding, sponsorship, affiliations, and relevant financial relationships should be disclosed in the manner required by the publisher and applicable rules. Commercial content must not disguise promotion as independent education. Claims about medicines, medical devices, diagnostics, supplements, or services must be checked against applicable advertising and regulatory requirements. In India, teams should review relevant requirements and organisational legal or regulatory advice before publishing product-specific claims; this plan is not a substitute for legal review.</w:t>
      </w:r>
    </w:p>
    <w:p w14:paraId="A77ACFFA">
      <w:pPr>
        <w:pStyle w:val="style2"/>
        <w:keepNext/>
        <w:rPr/>
      </w:pPr>
      <w:r>
        <w:t>8.4 Authorship and responsible use of AI</w:t>
      </w:r>
    </w:p>
    <w:p w14:paraId="DFC0B5F1">
      <w:pPr>
        <w:pStyle w:val="style0"/>
        <w:rPr/>
      </w:pPr>
      <w:r>
        <w:t>For scholarly work, authorship and contributor roles should follow the target journal’s policies and relevant ICMJE recommendations. People should not be added as authors solely because of seniority, nor excluded when they meet the applicable criteria. Writing support and technical editing should be acknowledged where required. AI-generated text must be reviewed by accountable humans; fabricated references, invented data, unverified translations, and unreported AI assistance where disclosure is required are unacceptable. The final sign-off must remain with a named person who can take responsibility for the content.</w:t>
      </w:r>
    </w:p>
    <w:p w14:paraId="910E424E">
      <w:pPr>
        <w:pStyle w:val="style2"/>
        <w:keepNext/>
        <w:rPr/>
      </w:pPr>
      <w:r>
        <w:t>8.5 Respectful and inclusive language</w:t>
      </w:r>
    </w:p>
    <w:p w14:paraId="3DDE8744">
      <w:pPr>
        <w:pStyle w:val="style0"/>
        <w:rPr/>
      </w:pPr>
      <w:r>
        <w:t>Avoid stigma, blame, stereotypes, and language that reduces a person to a diagnosis. Use person-centred wording where appropriate and respect the language preferences of the audience. Do not imply that health outcomes are solely the result of individual choices when access, income, disability, environment, and other social factors may affect options. Images and examples should reflect varied backgrounds without tokenism. Translate content through competent reviewers and check that the meaning—not only the words—remains accurate.</w:t>
      </w:r>
    </w:p>
    <w:p w14:paraId="059BAB97">
      <w:pPr>
        <w:pStyle w:val="style1"/>
        <w:keepNext/>
        <w:rPr/>
      </w:pPr>
      <w:r>
        <w:t>9. Communication Channels and Distribution</w:t>
      </w:r>
    </w:p>
    <w:p w14:paraId="5C984A3F">
      <w:pPr>
        <w:pStyle w:val="style0"/>
        <w:rPr/>
      </w:pPr>
      <w:r>
        <w:t>Channel selection should follow audience behaviour and content purpose. A small, consistent channel mix is preferable to a large set of poorly maintained accounts. Each channel should have a named owner, a publication cadence, an approval process, and a clear route to the full source material.</w:t>
      </w:r>
    </w:p>
    <w:p w14:paraId="6C65F769">
      <w:pPr>
        <w:pStyle w:val="style2"/>
        <w:keepNext/>
        <w:rPr/>
      </w:pPr>
      <w:r>
        <w:t>9.1 Website or resource hub</w:t>
      </w:r>
    </w:p>
    <w:p w14:paraId="7B3D0161">
      <w:pPr>
        <w:pStyle w:val="style0"/>
        <w:rPr/>
      </w:pPr>
      <w:r>
        <w:t>The website should be the primary, durable home for long-form articles, evidence explainers, FAQs, glossaries, and correction notes. Pages should include a clear title, summary, author or organisation, reviewer where appropriate, publication and review dates, source links, and an appropriate disclaimer. Search-friendly headings should match the questions readers ask without using clickbait. Old content should be reviewed, updated, archived, or labelled as no longer current.</w:t>
      </w:r>
    </w:p>
    <w:p w14:paraId="5E5B48AC">
      <w:pPr>
        <w:pStyle w:val="style2"/>
        <w:keepNext/>
        <w:rPr/>
      </w:pPr>
      <w:r>
        <w:t>9.2 Social media</w:t>
      </w:r>
    </w:p>
    <w:p w14:paraId="BA3B7D82">
      <w:pPr>
        <w:pStyle w:val="style0"/>
        <w:rPr/>
      </w:pPr>
      <w:r>
        <w:t>Social platforms can distribute short, accessible summaries and invite questions. Use one main point per post, explain abbreviations, include readable contrast and captions, and link to the full article. Avoid compressing complex treatment decisions into oversimplified slogans. Comment moderation rules should cover harassment, personal medical information, misinformation, emergencies, and requests for diagnosis. Moderators should not provide individual treatment instructions in public comments; they should direct people to appropriate professional care and official resources.</w:t>
      </w:r>
    </w:p>
    <w:p w14:paraId="7F827FD1">
      <w:pPr>
        <w:pStyle w:val="style2"/>
        <w:keepNext/>
        <w:rPr/>
      </w:pPr>
      <w:r>
        <w:t>9.3 Email newsletter</w:t>
      </w:r>
    </w:p>
    <w:p w14:paraId="1E05ED2C">
      <w:pPr>
        <w:pStyle w:val="style0"/>
        <w:rPr/>
      </w:pPr>
      <w:r>
        <w:t>A monthly newsletter can serve subscribers who want a curated digest. It should include a small number of useful items, a short explanation of why each matters, clear source links, and an easy unsubscribe mechanism. Avoid subject lines that create fear or imply personalised medical urgency. Subscriber data should be collected transparently and handled according to privacy requirements.</w:t>
      </w:r>
    </w:p>
    <w:p w14:paraId="917EEE4A">
      <w:pPr>
        <w:pStyle w:val="style2"/>
        <w:keepNext/>
        <w:rPr/>
      </w:pPr>
      <w:r>
        <w:t>9.4 Video, audio and visual content</w:t>
      </w:r>
    </w:p>
    <w:p w14:paraId="235FE33A">
      <w:pPr>
        <w:pStyle w:val="style0"/>
        <w:rPr/>
      </w:pPr>
      <w:r>
        <w:t>Short videos and audio explainers can help communicate processes and human context, while infographics can summarise a limited set of facts. Videos should have accurate captions and transcripts; images should have meaningful alternative text; charts should label axes, units, populations, and time frames. Visuals must not exaggerate differences or omit denominators. Every visual claim should be traceable to the same evidence standard as written claims.</w:t>
      </w:r>
    </w:p>
    <w:p w14:paraId="09242934">
      <w:pPr>
        <w:pStyle w:val="style2"/>
        <w:keepNext/>
        <w:rPr/>
      </w:pPr>
      <w:r>
        <w:t>9.5 Professional channels</w:t>
      </w:r>
    </w:p>
    <w:p w14:paraId="64840974">
      <w:pPr>
        <w:pStyle w:val="style0"/>
        <w:rPr/>
      </w:pPr>
      <w:r>
        <w:t>Professional audiences may be reached through webinars, continuing education sessions where applicable, journal clubs, professional newsletters, conference materials, and concise evidence briefs. Content should clearly distinguish education from promotion and should comply with the relevant professional and institutional standards. Where the goal is clinical decision support, the team must ensure that the information is current, properly scoped, and reviewed by appropriately qualified experts.</w:t>
      </w:r>
    </w:p>
    <w:p w14:paraId="F4970188">
      <w:pPr>
        <w:pStyle w:val="style2"/>
        <w:keepNext/>
        <w:rPr/>
      </w:pPr>
      <w:r>
        <w:t>9.6 Distribution model</w:t>
      </w:r>
    </w:p>
    <w:p w14:paraId="664724CF">
      <w:pPr>
        <w:pStyle w:val="style0"/>
        <w:rPr/>
      </w:pPr>
      <w:r>
        <w:t>Use a hub-and-spoke model. The reviewed long-form article or evidence brief is the hub; social posts, an infographic, a short video script, and newsletter copy are spokes. Each derivative asset should be checked for fidelity to the approved source, and all should link back to the hub. This creates a consistent evidence trail and reduces the risk that short-form content will drift away from its original meaning.</w:t>
      </w:r>
    </w:p>
    <w:p w14:paraId="AF6C54BF">
      <w:pPr>
        <w:pStyle w:val="style1"/>
        <w:keepNext/>
        <w:rPr/>
      </w:pPr>
      <w:r>
        <w:t>10. Twelve-Week Production Schedule</w:t>
      </w:r>
    </w:p>
    <w:p w14:paraId="79425DD2">
      <w:pPr>
        <w:pStyle w:val="style0"/>
        <w:rPr/>
      </w:pPr>
      <w:r>
        <w:t>The first 12 weeks establish the operating model, deliver a pilot portfolio, and evaluate whether the approach is feasible. The schedule assumes a small team and can be adapted to institutional review timelines.</w:t>
      </w:r>
    </w:p>
    <w:tbl>
      <w:tblPr>
        <w:tblStyle w:val="style172"/>
        <w:tblW w:w="0" w:type="auto"/>
        <w:jc w:val="center"/>
        <w:tblLook w:val="04A0" w:firstRow="1" w:lastRow="0" w:firstColumn="1" w:lastColumn="0" w:noHBand="0" w:noVBand="1"/>
      </w:tblPr>
      <w:tblGrid>
        <w:gridCol w:w="2448"/>
        <w:gridCol w:w="2448"/>
        <w:gridCol w:w="2448"/>
        <w:gridCol w:w="2448"/>
      </w:tblGrid>
      <w:tr w14:paraId="72F537F5">
        <w:trPr>
          <w:jc w:val="center"/>
        </w:trPr>
        <w:tc>
          <w:tcPr>
            <w:tcW w:w="2448" w:type="dxa"/>
            <w:tcBorders/>
          </w:tcPr>
          <w:p w14:paraId="B97A4DF4">
            <w:pPr>
              <w:pStyle w:val="style0"/>
              <w:spacing w:after="60"/>
              <w:rPr/>
            </w:pPr>
            <w:r>
              <w:rPr>
                <w:sz w:val="17"/>
              </w:rPr>
              <w:t>Week</w:t>
            </w:r>
          </w:p>
        </w:tc>
        <w:tc>
          <w:tcPr>
            <w:tcW w:w="2448" w:type="dxa"/>
            <w:tcBorders/>
          </w:tcPr>
          <w:p w14:paraId="4435635E">
            <w:pPr>
              <w:pStyle w:val="style0"/>
              <w:spacing w:after="60"/>
              <w:rPr/>
            </w:pPr>
            <w:r>
              <w:rPr>
                <w:sz w:val="17"/>
              </w:rPr>
              <w:t>Main activities</w:t>
            </w:r>
          </w:p>
        </w:tc>
        <w:tc>
          <w:tcPr>
            <w:tcW w:w="2448" w:type="dxa"/>
            <w:tcBorders/>
          </w:tcPr>
          <w:p w14:paraId="F09B6825">
            <w:pPr>
              <w:pStyle w:val="style0"/>
              <w:spacing w:after="60"/>
              <w:rPr/>
            </w:pPr>
            <w:r>
              <w:rPr>
                <w:sz w:val="17"/>
              </w:rPr>
              <w:t>Primary owner(s)</w:t>
            </w:r>
          </w:p>
        </w:tc>
        <w:tc>
          <w:tcPr>
            <w:tcW w:w="2448" w:type="dxa"/>
            <w:tcBorders/>
          </w:tcPr>
          <w:p w14:paraId="E2E0F7BE">
            <w:pPr>
              <w:pStyle w:val="style0"/>
              <w:spacing w:after="60"/>
              <w:rPr/>
            </w:pPr>
            <w:r>
              <w:rPr>
                <w:sz w:val="17"/>
              </w:rPr>
              <w:t>Deliverable / checkpoint</w:t>
            </w:r>
          </w:p>
        </w:tc>
      </w:tr>
      <w:tr w14:paraId="4420072A">
        <w:tblPrEx/>
        <w:trPr>
          <w:jc w:val="center"/>
        </w:trPr>
        <w:tc>
          <w:tcPr>
            <w:tcW w:w="2448" w:type="dxa"/>
            <w:tcBorders/>
          </w:tcPr>
          <w:p w14:paraId="51F8B67F">
            <w:pPr>
              <w:pStyle w:val="style0"/>
              <w:spacing w:after="60"/>
              <w:rPr/>
            </w:pPr>
            <w:r>
              <w:rPr>
                <w:sz w:val="17"/>
              </w:rPr>
              <w:t>1</w:t>
            </w:r>
          </w:p>
        </w:tc>
        <w:tc>
          <w:tcPr>
            <w:tcW w:w="2448" w:type="dxa"/>
            <w:tcBorders/>
          </w:tcPr>
          <w:p w14:paraId="1DD1CC59">
            <w:pPr>
              <w:pStyle w:val="style0"/>
              <w:spacing w:after="60"/>
              <w:rPr/>
            </w:pPr>
            <w:r>
              <w:rPr>
                <w:sz w:val="17"/>
              </w:rPr>
              <w:t>Kick-off; define scope, audiences, channels, approvals and risk boundaries.</w:t>
            </w:r>
          </w:p>
        </w:tc>
        <w:tc>
          <w:tcPr>
            <w:tcW w:w="2448" w:type="dxa"/>
            <w:tcBorders/>
          </w:tcPr>
          <w:p w14:paraId="43EC69B6">
            <w:pPr>
              <w:pStyle w:val="style0"/>
              <w:spacing w:after="60"/>
              <w:rPr/>
            </w:pPr>
            <w:r>
              <w:rPr>
                <w:sz w:val="17"/>
              </w:rPr>
              <w:t>Content lead + clinical lead</w:t>
            </w:r>
          </w:p>
        </w:tc>
        <w:tc>
          <w:tcPr>
            <w:tcW w:w="2448" w:type="dxa"/>
            <w:tcBorders/>
          </w:tcPr>
          <w:p w14:paraId="2BC1BB8D">
            <w:pPr>
              <w:pStyle w:val="style0"/>
              <w:spacing w:after="60"/>
              <w:rPr/>
            </w:pPr>
            <w:r>
              <w:rPr>
                <w:sz w:val="17"/>
              </w:rPr>
              <w:t>Approved strategy brief and governance map</w:t>
            </w:r>
          </w:p>
        </w:tc>
      </w:tr>
      <w:tr w14:paraId="92DC5A0B">
        <w:tblPrEx/>
        <w:trPr>
          <w:jc w:val="center"/>
        </w:trPr>
        <w:tc>
          <w:tcPr>
            <w:tcW w:w="2448" w:type="dxa"/>
            <w:tcBorders/>
          </w:tcPr>
          <w:p w14:paraId="3F8E9384">
            <w:pPr>
              <w:pStyle w:val="style0"/>
              <w:spacing w:after="60"/>
              <w:rPr/>
            </w:pPr>
            <w:r>
              <w:rPr>
                <w:sz w:val="17"/>
              </w:rPr>
              <w:t>2</w:t>
            </w:r>
          </w:p>
        </w:tc>
        <w:tc>
          <w:tcPr>
            <w:tcW w:w="2448" w:type="dxa"/>
            <w:tcBorders/>
          </w:tcPr>
          <w:p w14:paraId="75E8962C">
            <w:pPr>
              <w:pStyle w:val="style0"/>
              <w:spacing w:after="60"/>
              <w:rPr/>
            </w:pPr>
            <w:r>
              <w:rPr>
                <w:sz w:val="17"/>
              </w:rPr>
              <w:t>Audience interviews; review FAQs and baseline analytics; choose pilot topics.</w:t>
            </w:r>
          </w:p>
        </w:tc>
        <w:tc>
          <w:tcPr>
            <w:tcW w:w="2448" w:type="dxa"/>
            <w:tcBorders/>
          </w:tcPr>
          <w:p w14:paraId="315851AD">
            <w:pPr>
              <w:pStyle w:val="style0"/>
              <w:spacing w:after="60"/>
              <w:rPr/>
            </w:pPr>
            <w:r>
              <w:rPr>
                <w:sz w:val="17"/>
              </w:rPr>
              <w:t>Writer + audience/analytics lead</w:t>
            </w:r>
          </w:p>
        </w:tc>
        <w:tc>
          <w:tcPr>
            <w:tcW w:w="2448" w:type="dxa"/>
            <w:tcBorders/>
          </w:tcPr>
          <w:p w14:paraId="053C266C">
            <w:pPr>
              <w:pStyle w:val="style0"/>
              <w:spacing w:after="60"/>
              <w:rPr/>
            </w:pPr>
            <w:r>
              <w:rPr>
                <w:sz w:val="17"/>
              </w:rPr>
              <w:t>Audience profiles and prioritised topic backlog</w:t>
            </w:r>
          </w:p>
        </w:tc>
      </w:tr>
      <w:tr w14:paraId="9C0DC240">
        <w:tblPrEx/>
        <w:trPr>
          <w:jc w:val="center"/>
        </w:trPr>
        <w:tc>
          <w:tcPr>
            <w:tcW w:w="2448" w:type="dxa"/>
            <w:tcBorders/>
          </w:tcPr>
          <w:p w14:paraId="A9F57A2D">
            <w:pPr>
              <w:pStyle w:val="style0"/>
              <w:spacing w:after="60"/>
              <w:rPr/>
            </w:pPr>
            <w:r>
              <w:rPr>
                <w:sz w:val="17"/>
              </w:rPr>
              <w:t>3</w:t>
            </w:r>
          </w:p>
        </w:tc>
        <w:tc>
          <w:tcPr>
            <w:tcW w:w="2448" w:type="dxa"/>
            <w:tcBorders/>
          </w:tcPr>
          <w:p w14:paraId="51BA298E">
            <w:pPr>
              <w:pStyle w:val="style0"/>
              <w:spacing w:after="60"/>
              <w:rPr/>
            </w:pPr>
            <w:r>
              <w:rPr>
                <w:sz w:val="17"/>
              </w:rPr>
              <w:t>Build source hierarchy, evidence table template, editorial checklist and correction policy.</w:t>
            </w:r>
          </w:p>
        </w:tc>
        <w:tc>
          <w:tcPr>
            <w:tcW w:w="2448" w:type="dxa"/>
            <w:tcBorders/>
          </w:tcPr>
          <w:p w14:paraId="42CD93AF">
            <w:pPr>
              <w:pStyle w:val="style0"/>
              <w:spacing w:after="60"/>
              <w:rPr/>
            </w:pPr>
            <w:r>
              <w:rPr>
                <w:sz w:val="17"/>
              </w:rPr>
              <w:t>Medical writer + reviewer</w:t>
            </w:r>
          </w:p>
        </w:tc>
        <w:tc>
          <w:tcPr>
            <w:tcW w:w="2448" w:type="dxa"/>
            <w:tcBorders/>
          </w:tcPr>
          <w:p w14:paraId="F902159B">
            <w:pPr>
              <w:pStyle w:val="style0"/>
              <w:spacing w:after="60"/>
              <w:rPr/>
            </w:pPr>
            <w:r>
              <w:rPr>
                <w:sz w:val="17"/>
              </w:rPr>
              <w:t>Research and QA toolkit</w:t>
            </w:r>
          </w:p>
        </w:tc>
      </w:tr>
      <w:tr w14:paraId="A1199506">
        <w:tblPrEx/>
        <w:trPr>
          <w:jc w:val="center"/>
        </w:trPr>
        <w:tc>
          <w:tcPr>
            <w:tcW w:w="2448" w:type="dxa"/>
            <w:tcBorders/>
          </w:tcPr>
          <w:p w14:paraId="14AD7B67">
            <w:pPr>
              <w:pStyle w:val="style0"/>
              <w:spacing w:after="60"/>
              <w:rPr/>
            </w:pPr>
            <w:r>
              <w:rPr>
                <w:sz w:val="17"/>
              </w:rPr>
              <w:t>4</w:t>
            </w:r>
          </w:p>
        </w:tc>
        <w:tc>
          <w:tcPr>
            <w:tcW w:w="2448" w:type="dxa"/>
            <w:tcBorders/>
          </w:tcPr>
          <w:p w14:paraId="44AF6059">
            <w:pPr>
              <w:pStyle w:val="style0"/>
              <w:spacing w:after="60"/>
              <w:rPr/>
            </w:pPr>
            <w:r>
              <w:rPr>
                <w:sz w:val="17"/>
              </w:rPr>
              <w:t>Research and draft first two core pieces; test outline with representative readers.</w:t>
            </w:r>
          </w:p>
        </w:tc>
        <w:tc>
          <w:tcPr>
            <w:tcW w:w="2448" w:type="dxa"/>
            <w:tcBorders/>
          </w:tcPr>
          <w:p w14:paraId="C42B5B1C">
            <w:pPr>
              <w:pStyle w:val="style0"/>
              <w:spacing w:after="60"/>
              <w:rPr/>
            </w:pPr>
            <w:r>
              <w:rPr>
                <w:sz w:val="17"/>
              </w:rPr>
              <w:t>Writer</w:t>
            </w:r>
          </w:p>
        </w:tc>
        <w:tc>
          <w:tcPr>
            <w:tcW w:w="2448" w:type="dxa"/>
            <w:tcBorders/>
          </w:tcPr>
          <w:p w14:paraId="7769551C">
            <w:pPr>
              <w:pStyle w:val="style0"/>
              <w:spacing w:after="60"/>
              <w:rPr/>
            </w:pPr>
            <w:r>
              <w:rPr>
                <w:sz w:val="17"/>
              </w:rPr>
              <w:t>Two drafts and early feedback</w:t>
            </w:r>
          </w:p>
        </w:tc>
      </w:tr>
      <w:tr w14:paraId="3EEB9EEA">
        <w:tblPrEx/>
        <w:trPr>
          <w:jc w:val="center"/>
        </w:trPr>
        <w:tc>
          <w:tcPr>
            <w:tcW w:w="2448" w:type="dxa"/>
            <w:tcBorders/>
          </w:tcPr>
          <w:p w14:paraId="0B053E0D">
            <w:pPr>
              <w:pStyle w:val="style0"/>
              <w:spacing w:after="60"/>
              <w:rPr/>
            </w:pPr>
            <w:r>
              <w:rPr>
                <w:sz w:val="17"/>
              </w:rPr>
              <w:t>5</w:t>
            </w:r>
          </w:p>
        </w:tc>
        <w:tc>
          <w:tcPr>
            <w:tcW w:w="2448" w:type="dxa"/>
            <w:tcBorders/>
          </w:tcPr>
          <w:p w14:paraId="DB7E877B">
            <w:pPr>
              <w:pStyle w:val="style0"/>
              <w:spacing w:after="60"/>
              <w:rPr/>
            </w:pPr>
            <w:r>
              <w:rPr>
                <w:sz w:val="17"/>
              </w:rPr>
              <w:t>Clinical review, editorial revision, accessibility check and approval.</w:t>
            </w:r>
          </w:p>
        </w:tc>
        <w:tc>
          <w:tcPr>
            <w:tcW w:w="2448" w:type="dxa"/>
            <w:tcBorders/>
          </w:tcPr>
          <w:p w14:paraId="7DA35305">
            <w:pPr>
              <w:pStyle w:val="style0"/>
              <w:spacing w:after="60"/>
              <w:rPr/>
            </w:pPr>
            <w:r>
              <w:rPr>
                <w:sz w:val="17"/>
              </w:rPr>
              <w:t>Reviewer + editor</w:t>
            </w:r>
          </w:p>
        </w:tc>
        <w:tc>
          <w:tcPr>
            <w:tcW w:w="2448" w:type="dxa"/>
            <w:tcBorders/>
          </w:tcPr>
          <w:p w14:paraId="BC118BEB">
            <w:pPr>
              <w:pStyle w:val="style0"/>
              <w:spacing w:after="60"/>
              <w:rPr/>
            </w:pPr>
            <w:r>
              <w:rPr>
                <w:sz w:val="17"/>
              </w:rPr>
              <w:t>Two approved core assets</w:t>
            </w:r>
          </w:p>
        </w:tc>
      </w:tr>
      <w:tr w14:paraId="C11CD1BF">
        <w:tblPrEx/>
        <w:trPr>
          <w:jc w:val="center"/>
        </w:trPr>
        <w:tc>
          <w:tcPr>
            <w:tcW w:w="2448" w:type="dxa"/>
            <w:tcBorders/>
          </w:tcPr>
          <w:p w14:paraId="14B0DFFC">
            <w:pPr>
              <w:pStyle w:val="style0"/>
              <w:spacing w:after="60"/>
              <w:rPr/>
            </w:pPr>
            <w:r>
              <w:rPr>
                <w:sz w:val="17"/>
              </w:rPr>
              <w:t>6</w:t>
            </w:r>
          </w:p>
        </w:tc>
        <w:tc>
          <w:tcPr>
            <w:tcW w:w="2448" w:type="dxa"/>
            <w:tcBorders/>
          </w:tcPr>
          <w:p w14:paraId="0A3306B5">
            <w:pPr>
              <w:pStyle w:val="style0"/>
              <w:spacing w:after="60"/>
              <w:rPr/>
            </w:pPr>
            <w:r>
              <w:rPr>
                <w:sz w:val="17"/>
              </w:rPr>
              <w:t>Publish first assets; create social adaptations and newsletter summary.</w:t>
            </w:r>
          </w:p>
        </w:tc>
        <w:tc>
          <w:tcPr>
            <w:tcW w:w="2448" w:type="dxa"/>
            <w:tcBorders/>
          </w:tcPr>
          <w:p w14:paraId="D73CBEE3">
            <w:pPr>
              <w:pStyle w:val="style0"/>
              <w:spacing w:after="60"/>
              <w:rPr/>
            </w:pPr>
            <w:r>
              <w:rPr>
                <w:sz w:val="17"/>
              </w:rPr>
              <w:t>Publisher + designer</w:t>
            </w:r>
          </w:p>
        </w:tc>
        <w:tc>
          <w:tcPr>
            <w:tcW w:w="2448" w:type="dxa"/>
            <w:tcBorders/>
          </w:tcPr>
          <w:p w14:paraId="7A9A40B5">
            <w:pPr>
              <w:pStyle w:val="style0"/>
              <w:spacing w:after="60"/>
              <w:rPr/>
            </w:pPr>
            <w:r>
              <w:rPr>
                <w:sz w:val="17"/>
              </w:rPr>
              <w:t>First distribution package</w:t>
            </w:r>
          </w:p>
        </w:tc>
      </w:tr>
      <w:tr w14:paraId="C82C5325">
        <w:tblPrEx/>
        <w:trPr>
          <w:jc w:val="center"/>
        </w:trPr>
        <w:tc>
          <w:tcPr>
            <w:tcW w:w="2448" w:type="dxa"/>
            <w:tcBorders/>
          </w:tcPr>
          <w:p w14:paraId="50F9E63F">
            <w:pPr>
              <w:pStyle w:val="style0"/>
              <w:spacing w:after="60"/>
              <w:rPr/>
            </w:pPr>
            <w:r>
              <w:rPr>
                <w:sz w:val="17"/>
              </w:rPr>
              <w:t>7</w:t>
            </w:r>
          </w:p>
        </w:tc>
        <w:tc>
          <w:tcPr>
            <w:tcW w:w="2448" w:type="dxa"/>
            <w:tcBorders/>
          </w:tcPr>
          <w:p w14:paraId="7257C20B">
            <w:pPr>
              <w:pStyle w:val="style0"/>
              <w:spacing w:after="60"/>
              <w:rPr/>
            </w:pPr>
            <w:r>
              <w:rPr>
                <w:sz w:val="17"/>
              </w:rPr>
              <w:t>Research and draft next two topics; create one infographic or short video script.</w:t>
            </w:r>
          </w:p>
        </w:tc>
        <w:tc>
          <w:tcPr>
            <w:tcW w:w="2448" w:type="dxa"/>
            <w:tcBorders/>
          </w:tcPr>
          <w:p w14:paraId="647E3079">
            <w:pPr>
              <w:pStyle w:val="style0"/>
              <w:spacing w:after="60"/>
              <w:rPr/>
            </w:pPr>
            <w:r>
              <w:rPr>
                <w:sz w:val="17"/>
              </w:rPr>
              <w:t>Writer + designer</w:t>
            </w:r>
          </w:p>
        </w:tc>
        <w:tc>
          <w:tcPr>
            <w:tcW w:w="2448" w:type="dxa"/>
            <w:tcBorders/>
          </w:tcPr>
          <w:p w14:paraId="C028A605">
            <w:pPr>
              <w:pStyle w:val="style0"/>
              <w:spacing w:after="60"/>
              <w:rPr/>
            </w:pPr>
            <w:r>
              <w:rPr>
                <w:sz w:val="17"/>
              </w:rPr>
              <w:t>Two drafts and one visual asset</w:t>
            </w:r>
          </w:p>
        </w:tc>
      </w:tr>
      <w:tr w14:paraId="1E979CEA">
        <w:tblPrEx/>
        <w:trPr>
          <w:jc w:val="center"/>
        </w:trPr>
        <w:tc>
          <w:tcPr>
            <w:tcW w:w="2448" w:type="dxa"/>
            <w:tcBorders/>
          </w:tcPr>
          <w:p w14:paraId="3A469C76">
            <w:pPr>
              <w:pStyle w:val="style0"/>
              <w:spacing w:after="60"/>
              <w:rPr/>
            </w:pPr>
            <w:r>
              <w:rPr>
                <w:sz w:val="17"/>
              </w:rPr>
              <w:t>8</w:t>
            </w:r>
          </w:p>
        </w:tc>
        <w:tc>
          <w:tcPr>
            <w:tcW w:w="2448" w:type="dxa"/>
            <w:tcBorders/>
          </w:tcPr>
          <w:p w14:paraId="3CBB320F">
            <w:pPr>
              <w:pStyle w:val="style0"/>
              <w:spacing w:after="60"/>
              <w:rPr/>
            </w:pPr>
            <w:r>
              <w:rPr>
                <w:sz w:val="17"/>
              </w:rPr>
              <w:t>Review and publish; monitor questions, search behaviour and comprehension.</w:t>
            </w:r>
          </w:p>
        </w:tc>
        <w:tc>
          <w:tcPr>
            <w:tcW w:w="2448" w:type="dxa"/>
            <w:tcBorders/>
          </w:tcPr>
          <w:p w14:paraId="048B7718">
            <w:pPr>
              <w:pStyle w:val="style0"/>
              <w:spacing w:after="60"/>
              <w:rPr/>
            </w:pPr>
            <w:r>
              <w:rPr>
                <w:sz w:val="17"/>
              </w:rPr>
              <w:t>Reviewer + analytics lead</w:t>
            </w:r>
          </w:p>
        </w:tc>
        <w:tc>
          <w:tcPr>
            <w:tcW w:w="2448" w:type="dxa"/>
            <w:tcBorders/>
          </w:tcPr>
          <w:p w14:paraId="4365CC48">
            <w:pPr>
              <w:pStyle w:val="style0"/>
              <w:spacing w:after="60"/>
              <w:rPr/>
            </w:pPr>
            <w:r>
              <w:rPr>
                <w:sz w:val="17"/>
              </w:rPr>
              <w:t>Second release package and feedback log</w:t>
            </w:r>
          </w:p>
        </w:tc>
      </w:tr>
      <w:tr w14:paraId="B75A951F">
        <w:tblPrEx/>
        <w:trPr>
          <w:jc w:val="center"/>
        </w:trPr>
        <w:tc>
          <w:tcPr>
            <w:tcW w:w="2448" w:type="dxa"/>
            <w:tcBorders/>
          </w:tcPr>
          <w:p w14:paraId="85444C8F">
            <w:pPr>
              <w:pStyle w:val="style0"/>
              <w:spacing w:after="60"/>
              <w:rPr/>
            </w:pPr>
            <w:r>
              <w:rPr>
                <w:sz w:val="17"/>
              </w:rPr>
              <w:t>9</w:t>
            </w:r>
          </w:p>
        </w:tc>
        <w:tc>
          <w:tcPr>
            <w:tcW w:w="2448" w:type="dxa"/>
            <w:tcBorders/>
          </w:tcPr>
          <w:p w14:paraId="886281C7">
            <w:pPr>
              <w:pStyle w:val="style0"/>
              <w:spacing w:after="60"/>
              <w:rPr/>
            </w:pPr>
            <w:r>
              <w:rPr>
                <w:sz w:val="17"/>
              </w:rPr>
              <w:t>Produce professional evidence brief and public-friendly companion explainer.</w:t>
            </w:r>
          </w:p>
        </w:tc>
        <w:tc>
          <w:tcPr>
            <w:tcW w:w="2448" w:type="dxa"/>
            <w:tcBorders/>
          </w:tcPr>
          <w:p w14:paraId="28725745">
            <w:pPr>
              <w:pStyle w:val="style0"/>
              <w:spacing w:after="60"/>
              <w:rPr/>
            </w:pPr>
            <w:r>
              <w:rPr>
                <w:sz w:val="17"/>
              </w:rPr>
              <w:t>Writer + subject expert</w:t>
            </w:r>
          </w:p>
        </w:tc>
        <w:tc>
          <w:tcPr>
            <w:tcW w:w="2448" w:type="dxa"/>
            <w:tcBorders/>
          </w:tcPr>
          <w:p w14:paraId="8AE14D7D">
            <w:pPr>
              <w:pStyle w:val="style0"/>
              <w:spacing w:after="60"/>
              <w:rPr/>
            </w:pPr>
            <w:r>
              <w:rPr>
                <w:sz w:val="17"/>
              </w:rPr>
              <w:t>Paired audience assets</w:t>
            </w:r>
          </w:p>
        </w:tc>
      </w:tr>
      <w:tr w14:paraId="E76B5D1C">
        <w:tblPrEx/>
        <w:trPr>
          <w:jc w:val="center"/>
        </w:trPr>
        <w:tc>
          <w:tcPr>
            <w:tcW w:w="2448" w:type="dxa"/>
            <w:tcBorders/>
          </w:tcPr>
          <w:p w14:paraId="3247870D">
            <w:pPr>
              <w:pStyle w:val="style0"/>
              <w:spacing w:after="60"/>
              <w:rPr/>
            </w:pPr>
            <w:r>
              <w:rPr>
                <w:sz w:val="17"/>
              </w:rPr>
              <w:t>10</w:t>
            </w:r>
          </w:p>
        </w:tc>
        <w:tc>
          <w:tcPr>
            <w:tcW w:w="2448" w:type="dxa"/>
            <w:tcBorders/>
          </w:tcPr>
          <w:p w14:paraId="875BDC5F">
            <w:pPr>
              <w:pStyle w:val="style0"/>
              <w:spacing w:after="60"/>
              <w:rPr/>
            </w:pPr>
            <w:r>
              <w:rPr>
                <w:sz w:val="17"/>
              </w:rPr>
              <w:t>Publish; run a second round of comprehension testing; revise channel tactics.</w:t>
            </w:r>
          </w:p>
        </w:tc>
        <w:tc>
          <w:tcPr>
            <w:tcW w:w="2448" w:type="dxa"/>
            <w:tcBorders/>
          </w:tcPr>
          <w:p w14:paraId="4D3B6DC7">
            <w:pPr>
              <w:pStyle w:val="style0"/>
              <w:spacing w:after="60"/>
              <w:rPr/>
            </w:pPr>
            <w:r>
              <w:rPr>
                <w:sz w:val="17"/>
              </w:rPr>
              <w:t>Publisher + audience lead</w:t>
            </w:r>
          </w:p>
        </w:tc>
        <w:tc>
          <w:tcPr>
            <w:tcW w:w="2448" w:type="dxa"/>
            <w:tcBorders/>
          </w:tcPr>
          <w:p w14:paraId="629E62E4">
            <w:pPr>
              <w:pStyle w:val="style0"/>
              <w:spacing w:after="60"/>
              <w:rPr/>
            </w:pPr>
            <w:r>
              <w:rPr>
                <w:sz w:val="17"/>
              </w:rPr>
              <w:t>Test results and channel adjustments</w:t>
            </w:r>
          </w:p>
        </w:tc>
      </w:tr>
      <w:tr w14:paraId="E6A23231">
        <w:tblPrEx/>
        <w:trPr>
          <w:jc w:val="center"/>
        </w:trPr>
        <w:tc>
          <w:tcPr>
            <w:tcW w:w="2448" w:type="dxa"/>
            <w:tcBorders/>
          </w:tcPr>
          <w:p w14:paraId="39AB7982">
            <w:pPr>
              <w:pStyle w:val="style0"/>
              <w:spacing w:after="60"/>
              <w:rPr/>
            </w:pPr>
            <w:r>
              <w:rPr>
                <w:sz w:val="17"/>
              </w:rPr>
              <w:t>11</w:t>
            </w:r>
          </w:p>
        </w:tc>
        <w:tc>
          <w:tcPr>
            <w:tcW w:w="2448" w:type="dxa"/>
            <w:tcBorders/>
          </w:tcPr>
          <w:p w14:paraId="BFC25FB0">
            <w:pPr>
              <w:pStyle w:val="style0"/>
              <w:spacing w:after="60"/>
              <w:rPr/>
            </w:pPr>
            <w:r>
              <w:rPr>
                <w:sz w:val="17"/>
              </w:rPr>
              <w:t>Complete remaining pilot assets; audit citations, links, disclosures and dates.</w:t>
            </w:r>
          </w:p>
        </w:tc>
        <w:tc>
          <w:tcPr>
            <w:tcW w:w="2448" w:type="dxa"/>
            <w:tcBorders/>
          </w:tcPr>
          <w:p w14:paraId="0C9AFDE5">
            <w:pPr>
              <w:pStyle w:val="style0"/>
              <w:spacing w:after="60"/>
              <w:rPr/>
            </w:pPr>
            <w:r>
              <w:rPr>
                <w:sz w:val="17"/>
              </w:rPr>
              <w:t>Whole team</w:t>
            </w:r>
          </w:p>
        </w:tc>
        <w:tc>
          <w:tcPr>
            <w:tcW w:w="2448" w:type="dxa"/>
            <w:tcBorders/>
          </w:tcPr>
          <w:p w14:paraId="66E240D7">
            <w:pPr>
              <w:pStyle w:val="style0"/>
              <w:spacing w:after="60"/>
              <w:rPr/>
            </w:pPr>
            <w:r>
              <w:rPr>
                <w:sz w:val="17"/>
              </w:rPr>
              <w:t>Near-final portfolio and audit log</w:t>
            </w:r>
          </w:p>
        </w:tc>
      </w:tr>
      <w:tr w14:paraId="FDD1091D">
        <w:tblPrEx/>
        <w:trPr>
          <w:jc w:val="center"/>
        </w:trPr>
        <w:tc>
          <w:tcPr>
            <w:tcW w:w="2448" w:type="dxa"/>
            <w:tcBorders/>
          </w:tcPr>
          <w:p w14:paraId="1117C9A8">
            <w:pPr>
              <w:pStyle w:val="style0"/>
              <w:spacing w:after="60"/>
              <w:rPr/>
            </w:pPr>
            <w:r>
              <w:rPr>
                <w:sz w:val="17"/>
              </w:rPr>
              <w:t>12</w:t>
            </w:r>
          </w:p>
        </w:tc>
        <w:tc>
          <w:tcPr>
            <w:tcW w:w="2448" w:type="dxa"/>
            <w:tcBorders/>
          </w:tcPr>
          <w:p w14:paraId="A177F136">
            <w:pPr>
              <w:pStyle w:val="style0"/>
              <w:spacing w:after="60"/>
              <w:rPr/>
            </w:pPr>
            <w:r>
              <w:rPr>
                <w:sz w:val="17"/>
              </w:rPr>
              <w:t>Evaluate KPIs, conduct retrospective, update content backlog and approve next quarter.</w:t>
            </w:r>
          </w:p>
        </w:tc>
        <w:tc>
          <w:tcPr>
            <w:tcW w:w="2448" w:type="dxa"/>
            <w:tcBorders/>
          </w:tcPr>
          <w:p w14:paraId="464A205B">
            <w:pPr>
              <w:pStyle w:val="style0"/>
              <w:spacing w:after="60"/>
              <w:rPr/>
            </w:pPr>
            <w:r>
              <w:rPr>
                <w:sz w:val="17"/>
              </w:rPr>
              <w:t>Content lead + team</w:t>
            </w:r>
          </w:p>
        </w:tc>
        <w:tc>
          <w:tcPr>
            <w:tcW w:w="2448" w:type="dxa"/>
            <w:tcBorders/>
          </w:tcPr>
          <w:p w14:paraId="3B6D05BB">
            <w:pPr>
              <w:pStyle w:val="style0"/>
              <w:spacing w:after="60"/>
              <w:rPr/>
            </w:pPr>
            <w:r>
              <w:rPr>
                <w:sz w:val="17"/>
              </w:rPr>
              <w:t>Pilot evaluation and 90-day roadmap</w:t>
            </w:r>
          </w:p>
        </w:tc>
      </w:tr>
    </w:tbl>
    <w:p w14:paraId="C4F027F8">
      <w:pPr>
        <w:pStyle w:val="style2"/>
        <w:keepNext/>
        <w:rPr/>
      </w:pPr>
      <w:r>
        <w:t>10.1 Suggested weekly rhythm</w:t>
      </w:r>
    </w:p>
    <w:p w14:paraId="8B52D47A">
      <w:pPr>
        <w:pStyle w:val="style48"/>
        <w:rPr/>
      </w:pPr>
      <w:r>
        <w:t>Monday: topic confirmation, source search, and evidence-table completion.</w:t>
      </w:r>
    </w:p>
    <w:p w14:paraId="9677FA50">
      <w:pPr>
        <w:pStyle w:val="style48"/>
        <w:rPr/>
      </w:pPr>
      <w:r>
        <w:t>Tuesday: outline and first draft.</w:t>
      </w:r>
    </w:p>
    <w:p w14:paraId="7FF71DFF">
      <w:pPr>
        <w:pStyle w:val="style48"/>
        <w:rPr/>
      </w:pPr>
      <w:r>
        <w:t>Wednesday: clinical or subject-matter review and resolution of queries.</w:t>
      </w:r>
    </w:p>
    <w:p w14:paraId="CEF1AE79">
      <w:pPr>
        <w:pStyle w:val="style48"/>
        <w:rPr/>
      </w:pPr>
      <w:r>
        <w:t>Thursday: editing, accessibility checks, design, and final approval.</w:t>
      </w:r>
    </w:p>
    <w:p w14:paraId="C9257CC8">
      <w:pPr>
        <w:pStyle w:val="style48"/>
        <w:rPr/>
      </w:pPr>
      <w:r>
        <w:t>Friday: publish, distribute, monitor initial questions, and record lessons.</w:t>
      </w:r>
    </w:p>
    <w:p w14:paraId="535FE59C">
      <w:pPr>
        <w:pStyle w:val="style0"/>
        <w:rPr/>
      </w:pPr>
      <w:r>
        <w:t>This rhythm is a planning guide, not a reason to rush a high-risk topic. Content involving treatment decisions, new safety alerts, emergencies, or disputed evidence may require additional review time. If review is not complete, publication should be delayed or the scope reduced rather than bypassing the approval gate.</w:t>
      </w:r>
    </w:p>
    <w:p w14:paraId="4B358435">
      <w:pPr>
        <w:pStyle w:val="style1"/>
        <w:keepNext/>
        <w:rPr/>
      </w:pPr>
      <w:r>
        <w:t>11. Roles, Responsibilities and Resources</w:t>
      </w:r>
    </w:p>
    <w:p w14:paraId="E063C4E7">
      <w:pPr>
        <w:pStyle w:val="style0"/>
        <w:rPr/>
      </w:pPr>
      <w:r>
        <w:t>A lean programme can operate with several people holding more than one role, provided accountability is explicit and no person approves their own unreviewed clinical claims when independent review is needed.</w:t>
      </w:r>
    </w:p>
    <w:p w14:paraId="CB314F01">
      <w:pPr>
        <w:pStyle w:val="style48"/>
        <w:rPr/>
      </w:pPr>
      <w:r>
        <w:t>Content lead/editor: owns strategy, prioritisation, voice, deadlines, approval records, and escalation.</w:t>
      </w:r>
    </w:p>
    <w:p w14:paraId="FAF95109">
      <w:pPr>
        <w:pStyle w:val="style48"/>
        <w:rPr/>
      </w:pPr>
      <w:r>
        <w:t>Medical writer/researcher: defines the question, searches evidence, prepares the evidence table, drafts content, and manages references.</w:t>
      </w:r>
    </w:p>
    <w:p w14:paraId="DCF50448">
      <w:pPr>
        <w:pStyle w:val="style48"/>
        <w:rPr/>
      </w:pPr>
      <w:r>
        <w:t>Clinical or subject-matter reviewer: verifies scientific accuracy, clinical interpretation, safety, and relevant limitations.</w:t>
      </w:r>
    </w:p>
    <w:p w14:paraId="CBD3EDB2">
      <w:pPr>
        <w:pStyle w:val="style48"/>
        <w:rPr/>
      </w:pPr>
      <w:r>
        <w:t>Copy editor/accessibility reviewer: checks clarity, consistency, inclusive language, structure, readability, captions, alt text, and link quality.</w:t>
      </w:r>
    </w:p>
    <w:p w14:paraId="9EE63AFD">
      <w:pPr>
        <w:pStyle w:val="style48"/>
        <w:rPr/>
      </w:pPr>
      <w:r>
        <w:t>Designer/video producer: creates visual assets, applies accessibility standards, and verifies that design does not distort evidence.</w:t>
      </w:r>
    </w:p>
    <w:p w14:paraId="5AD06E6D">
      <w:pPr>
        <w:pStyle w:val="style48"/>
        <w:rPr/>
      </w:pPr>
      <w:r>
        <w:t>Publisher/community manager: schedules approved content, moderates comments, responds with approved information, and escalates clinical or safety issues.</w:t>
      </w:r>
    </w:p>
    <w:p w14:paraId="0271CE73">
      <w:pPr>
        <w:pStyle w:val="style48"/>
        <w:rPr/>
      </w:pPr>
      <w:r>
        <w:t>Analytics lead: establishes baselines, tracks KPIs, analyses user behaviour, and reports findings.</w:t>
      </w:r>
    </w:p>
    <w:p w14:paraId="94F26B6E">
      <w:pPr>
        <w:pStyle w:val="style48"/>
        <w:rPr/>
      </w:pPr>
      <w:r>
        <w:t>Legal/regulatory or privacy adviser, when needed: reviews product claims, sponsorship, personal data, consent, and jurisdiction-specific obligations.</w:t>
      </w:r>
    </w:p>
    <w:p w14:paraId="4BDEDAA2">
      <w:pPr>
        <w:pStyle w:val="style2"/>
        <w:keepNext/>
        <w:rPr/>
      </w:pPr>
      <w:r>
        <w:t>11.1 Tools and records</w:t>
      </w:r>
    </w:p>
    <w:p w14:paraId="725E1EAE">
      <w:pPr>
        <w:pStyle w:val="style0"/>
        <w:rPr/>
      </w:pPr>
      <w:r>
        <w:t>Core resources include access to reputable databases and official guidance, reference-management software, a shared editorial calendar, version-controlled documents, a content management system, basic design tools, web analytics, an accessibility checker, and a secure method for collecting feedback. A simple spreadsheet can be sufficient at pilot stage if it records asset ID, topic, audience, owner, status, evidence links, reviewer, publication date, review date, channels, KPIs, and correction history. Use organisation-approved systems for confidential information.</w:t>
      </w:r>
    </w:p>
    <w:p w14:paraId="33EC4639">
      <w:pPr>
        <w:pStyle w:val="style1"/>
        <w:keepNext/>
        <w:rPr/>
      </w:pPr>
      <w:r>
        <w:t>12. Evaluation Framework and Key Performance Indicators</w:t>
      </w:r>
    </w:p>
    <w:p w14:paraId="7D53DA1B">
      <w:pPr>
        <w:pStyle w:val="style0"/>
        <w:rPr/>
      </w:pPr>
      <w:r>
        <w:t>Evaluation should determine whether the programme is accurate, understandable, useful, accessible, and sustainable. Reach is relevant, but it is not a substitute for comprehension or safety. Metrics should be interpreted together and compared with a baseline; low engagement can reflect distribution problems, while high engagement can result from controversy or fear rather than usefulness.</w:t>
      </w:r>
    </w:p>
    <w:tbl>
      <w:tblPr>
        <w:tblStyle w:val="style172"/>
        <w:tblW w:w="0" w:type="auto"/>
        <w:jc w:val="center"/>
        <w:tblLook w:val="04A0" w:firstRow="1" w:lastRow="0" w:firstColumn="1" w:lastColumn="0" w:noHBand="0" w:noVBand="1"/>
      </w:tblPr>
      <w:tblGrid>
        <w:gridCol w:w="2448"/>
        <w:gridCol w:w="2448"/>
        <w:gridCol w:w="2448"/>
        <w:gridCol w:w="2448"/>
      </w:tblGrid>
      <w:tr w14:paraId="FBD6FDA8">
        <w:trPr>
          <w:jc w:val="center"/>
        </w:trPr>
        <w:tc>
          <w:tcPr>
            <w:tcW w:w="2448" w:type="dxa"/>
            <w:tcBorders/>
          </w:tcPr>
          <w:p w14:paraId="39DB65E3">
            <w:pPr>
              <w:pStyle w:val="style0"/>
              <w:spacing w:after="60"/>
              <w:rPr/>
            </w:pPr>
            <w:r>
              <w:rPr>
                <w:sz w:val="17"/>
              </w:rPr>
              <w:t>Dimension</w:t>
            </w:r>
          </w:p>
        </w:tc>
        <w:tc>
          <w:tcPr>
            <w:tcW w:w="2448" w:type="dxa"/>
            <w:tcBorders/>
          </w:tcPr>
          <w:p w14:paraId="4D4A6B48">
            <w:pPr>
              <w:pStyle w:val="style0"/>
              <w:spacing w:after="60"/>
              <w:rPr/>
            </w:pPr>
            <w:r>
              <w:rPr>
                <w:sz w:val="17"/>
              </w:rPr>
              <w:t>Metric</w:t>
            </w:r>
          </w:p>
        </w:tc>
        <w:tc>
          <w:tcPr>
            <w:tcW w:w="2448" w:type="dxa"/>
            <w:tcBorders/>
          </w:tcPr>
          <w:p w14:paraId="58EC5744">
            <w:pPr>
              <w:pStyle w:val="style0"/>
              <w:spacing w:after="60"/>
              <w:rPr/>
            </w:pPr>
            <w:r>
              <w:rPr>
                <w:sz w:val="17"/>
              </w:rPr>
              <w:t>Method / frequency</w:t>
            </w:r>
          </w:p>
        </w:tc>
        <w:tc>
          <w:tcPr>
            <w:tcW w:w="2448" w:type="dxa"/>
            <w:tcBorders/>
          </w:tcPr>
          <w:p w14:paraId="C9E760DD">
            <w:pPr>
              <w:pStyle w:val="style0"/>
              <w:spacing w:after="60"/>
              <w:rPr/>
            </w:pPr>
            <w:r>
              <w:rPr>
                <w:sz w:val="17"/>
              </w:rPr>
              <w:t>Proposed target</w:t>
            </w:r>
          </w:p>
        </w:tc>
      </w:tr>
      <w:tr w14:paraId="7B289D8F">
        <w:tblPrEx/>
        <w:trPr>
          <w:jc w:val="center"/>
        </w:trPr>
        <w:tc>
          <w:tcPr>
            <w:tcW w:w="2448" w:type="dxa"/>
            <w:tcBorders/>
          </w:tcPr>
          <w:p w14:paraId="AEB789D2">
            <w:pPr>
              <w:pStyle w:val="style0"/>
              <w:spacing w:after="60"/>
              <w:rPr/>
            </w:pPr>
            <w:r>
              <w:rPr>
                <w:sz w:val="17"/>
              </w:rPr>
              <w:t>Scientific quality</w:t>
            </w:r>
          </w:p>
        </w:tc>
        <w:tc>
          <w:tcPr>
            <w:tcW w:w="2448" w:type="dxa"/>
            <w:tcBorders/>
          </w:tcPr>
          <w:p w14:paraId="E129D502">
            <w:pPr>
              <w:pStyle w:val="style0"/>
              <w:spacing w:after="60"/>
              <w:rPr/>
            </w:pPr>
            <w:r>
              <w:rPr>
                <w:sz w:val="17"/>
              </w:rPr>
              <w:t>Percentage of assets with verified sources and completed expert review</w:t>
            </w:r>
          </w:p>
        </w:tc>
        <w:tc>
          <w:tcPr>
            <w:tcW w:w="2448" w:type="dxa"/>
            <w:tcBorders/>
          </w:tcPr>
          <w:p w14:paraId="5D6466F2">
            <w:pPr>
              <w:pStyle w:val="style0"/>
              <w:spacing w:after="60"/>
              <w:rPr/>
            </w:pPr>
            <w:r>
              <w:rPr>
                <w:sz w:val="17"/>
              </w:rPr>
              <w:t>Pre-publication audit; every asset</w:t>
            </w:r>
          </w:p>
        </w:tc>
        <w:tc>
          <w:tcPr>
            <w:tcW w:w="2448" w:type="dxa"/>
            <w:tcBorders/>
          </w:tcPr>
          <w:p w14:paraId="F498EA18">
            <w:pPr>
              <w:pStyle w:val="style0"/>
              <w:spacing w:after="60"/>
              <w:rPr/>
            </w:pPr>
            <w:r>
              <w:rPr>
                <w:sz w:val="17"/>
              </w:rPr>
              <w:t>100%</w:t>
            </w:r>
          </w:p>
        </w:tc>
      </w:tr>
      <w:tr w14:paraId="E7ABB322">
        <w:tblPrEx/>
        <w:trPr>
          <w:jc w:val="center"/>
        </w:trPr>
        <w:tc>
          <w:tcPr>
            <w:tcW w:w="2448" w:type="dxa"/>
            <w:tcBorders/>
          </w:tcPr>
          <w:p w14:paraId="02BBA8B3">
            <w:pPr>
              <w:pStyle w:val="style0"/>
              <w:spacing w:after="60"/>
              <w:rPr/>
            </w:pPr>
            <w:r>
              <w:rPr>
                <w:sz w:val="17"/>
              </w:rPr>
              <w:t>Timeliness</w:t>
            </w:r>
          </w:p>
        </w:tc>
        <w:tc>
          <w:tcPr>
            <w:tcW w:w="2448" w:type="dxa"/>
            <w:tcBorders/>
          </w:tcPr>
          <w:p w14:paraId="A44DD093">
            <w:pPr>
              <w:pStyle w:val="style0"/>
              <w:spacing w:after="60"/>
              <w:rPr/>
            </w:pPr>
            <w:r>
              <w:rPr>
                <w:sz w:val="17"/>
              </w:rPr>
              <w:t>Percentage published or updated by planned date</w:t>
            </w:r>
          </w:p>
        </w:tc>
        <w:tc>
          <w:tcPr>
            <w:tcW w:w="2448" w:type="dxa"/>
            <w:tcBorders/>
          </w:tcPr>
          <w:p w14:paraId="3648AA42">
            <w:pPr>
              <w:pStyle w:val="style0"/>
              <w:spacing w:after="60"/>
              <w:rPr/>
            </w:pPr>
            <w:r>
              <w:rPr>
                <w:sz w:val="17"/>
              </w:rPr>
              <w:t>Editorial calendar; monthly</w:t>
            </w:r>
          </w:p>
        </w:tc>
        <w:tc>
          <w:tcPr>
            <w:tcW w:w="2448" w:type="dxa"/>
            <w:tcBorders/>
          </w:tcPr>
          <w:p w14:paraId="2E9926D9">
            <w:pPr>
              <w:pStyle w:val="style0"/>
              <w:spacing w:after="60"/>
              <w:rPr/>
            </w:pPr>
            <w:r>
              <w:rPr>
                <w:sz w:val="17"/>
              </w:rPr>
              <w:t>≥85% after ramp-up</w:t>
            </w:r>
          </w:p>
        </w:tc>
      </w:tr>
      <w:tr w14:paraId="EC0B70D0">
        <w:tblPrEx/>
        <w:trPr>
          <w:jc w:val="center"/>
        </w:trPr>
        <w:tc>
          <w:tcPr>
            <w:tcW w:w="2448" w:type="dxa"/>
            <w:tcBorders/>
          </w:tcPr>
          <w:p w14:paraId="DE5FA344">
            <w:pPr>
              <w:pStyle w:val="style0"/>
              <w:spacing w:after="60"/>
              <w:rPr/>
            </w:pPr>
            <w:r>
              <w:rPr>
                <w:sz w:val="17"/>
              </w:rPr>
              <w:t>Clarity</w:t>
            </w:r>
          </w:p>
        </w:tc>
        <w:tc>
          <w:tcPr>
            <w:tcW w:w="2448" w:type="dxa"/>
            <w:tcBorders/>
          </w:tcPr>
          <w:p w14:paraId="F75A8F08">
            <w:pPr>
              <w:pStyle w:val="style0"/>
              <w:spacing w:after="60"/>
              <w:rPr/>
            </w:pPr>
            <w:r>
              <w:rPr>
                <w:sz w:val="17"/>
              </w:rPr>
              <w:t>CDC Clear Communication Index or adapted checklist score</w:t>
            </w:r>
          </w:p>
        </w:tc>
        <w:tc>
          <w:tcPr>
            <w:tcW w:w="2448" w:type="dxa"/>
            <w:tcBorders/>
          </w:tcPr>
          <w:p w14:paraId="BC54D76B">
            <w:pPr>
              <w:pStyle w:val="style0"/>
              <w:spacing w:after="60"/>
              <w:rPr/>
            </w:pPr>
            <w:r>
              <w:rPr>
                <w:sz w:val="17"/>
              </w:rPr>
              <w:t>Before publication; sample audit</w:t>
            </w:r>
          </w:p>
        </w:tc>
        <w:tc>
          <w:tcPr>
            <w:tcW w:w="2448" w:type="dxa"/>
            <w:tcBorders/>
          </w:tcPr>
          <w:p w14:paraId="6572640E">
            <w:pPr>
              <w:pStyle w:val="style0"/>
              <w:spacing w:after="60"/>
              <w:rPr/>
            </w:pPr>
            <w:r>
              <w:rPr>
                <w:sz w:val="17"/>
              </w:rPr>
              <w:t>Aim for ≥90% where applicable</w:t>
            </w:r>
          </w:p>
        </w:tc>
      </w:tr>
      <w:tr w14:paraId="A331B674">
        <w:tblPrEx/>
        <w:trPr>
          <w:jc w:val="center"/>
        </w:trPr>
        <w:tc>
          <w:tcPr>
            <w:tcW w:w="2448" w:type="dxa"/>
            <w:tcBorders/>
          </w:tcPr>
          <w:p w14:paraId="407EEFD3">
            <w:pPr>
              <w:pStyle w:val="style0"/>
              <w:spacing w:after="60"/>
              <w:rPr/>
            </w:pPr>
            <w:r>
              <w:rPr>
                <w:sz w:val="17"/>
              </w:rPr>
              <w:t>Comprehension</w:t>
            </w:r>
          </w:p>
        </w:tc>
        <w:tc>
          <w:tcPr>
            <w:tcW w:w="2448" w:type="dxa"/>
            <w:tcBorders/>
          </w:tcPr>
          <w:p w14:paraId="B3408AB3">
            <w:pPr>
              <w:pStyle w:val="style0"/>
              <w:spacing w:after="60"/>
              <w:rPr/>
            </w:pPr>
            <w:r>
              <w:rPr>
                <w:sz w:val="17"/>
              </w:rPr>
              <w:t>Readers correctly identify main message and next step</w:t>
            </w:r>
          </w:p>
        </w:tc>
        <w:tc>
          <w:tcPr>
            <w:tcW w:w="2448" w:type="dxa"/>
            <w:tcBorders/>
          </w:tcPr>
          <w:p w14:paraId="6B8BD820">
            <w:pPr>
              <w:pStyle w:val="style0"/>
              <w:spacing w:after="60"/>
              <w:rPr/>
            </w:pPr>
            <w:r>
              <w:rPr>
                <w:sz w:val="17"/>
              </w:rPr>
              <w:t>Short user test; at least monthly</w:t>
            </w:r>
          </w:p>
        </w:tc>
        <w:tc>
          <w:tcPr>
            <w:tcW w:w="2448" w:type="dxa"/>
            <w:tcBorders/>
          </w:tcPr>
          <w:p w14:paraId="E698FDDB">
            <w:pPr>
              <w:pStyle w:val="style0"/>
              <w:spacing w:after="60"/>
              <w:rPr/>
            </w:pPr>
            <w:r>
              <w:rPr>
                <w:sz w:val="17"/>
              </w:rPr>
              <w:t>Improve from baseline; set threshold after first test</w:t>
            </w:r>
          </w:p>
        </w:tc>
      </w:tr>
      <w:tr w14:paraId="1161DC9F">
        <w:tblPrEx/>
        <w:trPr>
          <w:jc w:val="center"/>
        </w:trPr>
        <w:tc>
          <w:tcPr>
            <w:tcW w:w="2448" w:type="dxa"/>
            <w:tcBorders/>
          </w:tcPr>
          <w:p w14:paraId="CB31CF8A">
            <w:pPr>
              <w:pStyle w:val="style0"/>
              <w:spacing w:after="60"/>
              <w:rPr/>
            </w:pPr>
            <w:r>
              <w:rPr>
                <w:sz w:val="17"/>
              </w:rPr>
              <w:t>Usefulness</w:t>
            </w:r>
          </w:p>
        </w:tc>
        <w:tc>
          <w:tcPr>
            <w:tcW w:w="2448" w:type="dxa"/>
            <w:tcBorders/>
          </w:tcPr>
          <w:p w14:paraId="05DADF99">
            <w:pPr>
              <w:pStyle w:val="style0"/>
              <w:spacing w:after="60"/>
              <w:rPr/>
            </w:pPr>
            <w:r>
              <w:rPr>
                <w:sz w:val="17"/>
              </w:rPr>
              <w:t>Reader rating and open-ended feedback</w:t>
            </w:r>
          </w:p>
        </w:tc>
        <w:tc>
          <w:tcPr>
            <w:tcW w:w="2448" w:type="dxa"/>
            <w:tcBorders/>
          </w:tcPr>
          <w:p w14:paraId="07902917">
            <w:pPr>
              <w:pStyle w:val="style0"/>
              <w:spacing w:after="60"/>
              <w:rPr/>
            </w:pPr>
            <w:r>
              <w:rPr>
                <w:sz w:val="17"/>
              </w:rPr>
              <w:t>Survey or feedback prompt; monthly</w:t>
            </w:r>
          </w:p>
        </w:tc>
        <w:tc>
          <w:tcPr>
            <w:tcW w:w="2448" w:type="dxa"/>
            <w:tcBorders/>
          </w:tcPr>
          <w:p w14:paraId="8F35408D">
            <w:pPr>
              <w:pStyle w:val="style0"/>
              <w:spacing w:after="60"/>
              <w:rPr/>
            </w:pPr>
            <w:r>
              <w:rPr>
                <w:sz w:val="17"/>
              </w:rPr>
              <w:t>Positive trend across pilot</w:t>
            </w:r>
          </w:p>
        </w:tc>
      </w:tr>
      <w:tr w14:paraId="47E9C3AB">
        <w:tblPrEx/>
        <w:trPr>
          <w:jc w:val="center"/>
        </w:trPr>
        <w:tc>
          <w:tcPr>
            <w:tcW w:w="2448" w:type="dxa"/>
            <w:tcBorders/>
          </w:tcPr>
          <w:p w14:paraId="DD53555E">
            <w:pPr>
              <w:pStyle w:val="style0"/>
              <w:spacing w:after="60"/>
              <w:rPr/>
            </w:pPr>
            <w:r>
              <w:rPr>
                <w:sz w:val="17"/>
              </w:rPr>
              <w:t>Reach</w:t>
            </w:r>
          </w:p>
        </w:tc>
        <w:tc>
          <w:tcPr>
            <w:tcW w:w="2448" w:type="dxa"/>
            <w:tcBorders/>
          </w:tcPr>
          <w:p w14:paraId="D9BDC214">
            <w:pPr>
              <w:pStyle w:val="style0"/>
              <w:spacing w:after="60"/>
              <w:rPr/>
            </w:pPr>
            <w:r>
              <w:rPr>
                <w:sz w:val="17"/>
              </w:rPr>
              <w:t>Qualified page views, newsletter opens, relevant shares</w:t>
            </w:r>
          </w:p>
        </w:tc>
        <w:tc>
          <w:tcPr>
            <w:tcW w:w="2448" w:type="dxa"/>
            <w:tcBorders/>
          </w:tcPr>
          <w:p w14:paraId="51D1159F">
            <w:pPr>
              <w:pStyle w:val="style0"/>
              <w:spacing w:after="60"/>
              <w:rPr/>
            </w:pPr>
            <w:r>
              <w:rPr>
                <w:sz w:val="17"/>
              </w:rPr>
              <w:t>Channel analytics; monthly</w:t>
            </w:r>
          </w:p>
        </w:tc>
        <w:tc>
          <w:tcPr>
            <w:tcW w:w="2448" w:type="dxa"/>
            <w:tcBorders/>
          </w:tcPr>
          <w:p w14:paraId="BD177003">
            <w:pPr>
              <w:pStyle w:val="style0"/>
              <w:spacing w:after="60"/>
              <w:rPr/>
            </w:pPr>
            <w:r>
              <w:rPr>
                <w:sz w:val="17"/>
              </w:rPr>
              <w:t>Set realistic baseline in weeks 1–2</w:t>
            </w:r>
          </w:p>
        </w:tc>
      </w:tr>
      <w:tr w14:paraId="4D4D6DA5">
        <w:tblPrEx/>
        <w:trPr>
          <w:jc w:val="center"/>
        </w:trPr>
        <w:tc>
          <w:tcPr>
            <w:tcW w:w="2448" w:type="dxa"/>
            <w:tcBorders/>
          </w:tcPr>
          <w:p w14:paraId="B59B47C6">
            <w:pPr>
              <w:pStyle w:val="style0"/>
              <w:spacing w:after="60"/>
              <w:rPr/>
            </w:pPr>
            <w:r>
              <w:rPr>
                <w:sz w:val="17"/>
              </w:rPr>
              <w:t>Engagement quality</w:t>
            </w:r>
          </w:p>
        </w:tc>
        <w:tc>
          <w:tcPr>
            <w:tcW w:w="2448" w:type="dxa"/>
            <w:tcBorders/>
          </w:tcPr>
          <w:p w14:paraId="5AC9938B">
            <w:pPr>
              <w:pStyle w:val="style0"/>
              <w:spacing w:after="60"/>
              <w:rPr/>
            </w:pPr>
            <w:r>
              <w:rPr>
                <w:sz w:val="17"/>
              </w:rPr>
              <w:t>Substantive questions, saves, link clicks, completion rate</w:t>
            </w:r>
          </w:p>
        </w:tc>
        <w:tc>
          <w:tcPr>
            <w:tcW w:w="2448" w:type="dxa"/>
            <w:tcBorders/>
          </w:tcPr>
          <w:p w14:paraId="18609620">
            <w:pPr>
              <w:pStyle w:val="style0"/>
              <w:spacing w:after="60"/>
              <w:rPr/>
            </w:pPr>
            <w:r>
              <w:rPr>
                <w:sz w:val="17"/>
              </w:rPr>
              <w:t>Channel analytics; monthly</w:t>
            </w:r>
          </w:p>
        </w:tc>
        <w:tc>
          <w:tcPr>
            <w:tcW w:w="2448" w:type="dxa"/>
            <w:tcBorders/>
          </w:tcPr>
          <w:p w14:paraId="59156475">
            <w:pPr>
              <w:pStyle w:val="style0"/>
              <w:spacing w:after="60"/>
              <w:rPr/>
            </w:pPr>
            <w:r>
              <w:rPr>
                <w:sz w:val="17"/>
              </w:rPr>
              <w:t>Improve against baseline without sacrificing accuracy</w:t>
            </w:r>
          </w:p>
        </w:tc>
      </w:tr>
      <w:tr w14:paraId="2CE2EE5C">
        <w:tblPrEx/>
        <w:trPr>
          <w:jc w:val="center"/>
        </w:trPr>
        <w:tc>
          <w:tcPr>
            <w:tcW w:w="2448" w:type="dxa"/>
            <w:tcBorders/>
          </w:tcPr>
          <w:p w14:paraId="54F8274C">
            <w:pPr>
              <w:pStyle w:val="style0"/>
              <w:spacing w:after="60"/>
              <w:rPr/>
            </w:pPr>
            <w:r>
              <w:rPr>
                <w:sz w:val="17"/>
              </w:rPr>
              <w:t>Accessibility</w:t>
            </w:r>
          </w:p>
        </w:tc>
        <w:tc>
          <w:tcPr>
            <w:tcW w:w="2448" w:type="dxa"/>
            <w:tcBorders/>
          </w:tcPr>
          <w:p w14:paraId="8DD378D1">
            <w:pPr>
              <w:pStyle w:val="style0"/>
              <w:spacing w:after="60"/>
              <w:rPr/>
            </w:pPr>
            <w:r>
              <w:rPr>
                <w:sz w:val="17"/>
              </w:rPr>
              <w:t>Assets with captions, alt text, readable contrast and mobile check</w:t>
            </w:r>
          </w:p>
        </w:tc>
        <w:tc>
          <w:tcPr>
            <w:tcW w:w="2448" w:type="dxa"/>
            <w:tcBorders/>
          </w:tcPr>
          <w:p w14:paraId="07C496A6">
            <w:pPr>
              <w:pStyle w:val="style0"/>
              <w:spacing w:after="60"/>
              <w:rPr/>
            </w:pPr>
            <w:r>
              <w:rPr>
                <w:sz w:val="17"/>
              </w:rPr>
              <w:t>Pre-publication checklist</w:t>
            </w:r>
          </w:p>
        </w:tc>
        <w:tc>
          <w:tcPr>
            <w:tcW w:w="2448" w:type="dxa"/>
            <w:tcBorders/>
          </w:tcPr>
          <w:p w14:paraId="BBC2DF21">
            <w:pPr>
              <w:pStyle w:val="style0"/>
              <w:spacing w:after="60"/>
              <w:rPr/>
            </w:pPr>
            <w:r>
              <w:rPr>
                <w:sz w:val="17"/>
              </w:rPr>
              <w:t>100% of applicable assets</w:t>
            </w:r>
          </w:p>
        </w:tc>
      </w:tr>
      <w:tr w14:paraId="E20B286A">
        <w:tblPrEx/>
        <w:trPr>
          <w:jc w:val="center"/>
        </w:trPr>
        <w:tc>
          <w:tcPr>
            <w:tcW w:w="2448" w:type="dxa"/>
            <w:tcBorders/>
          </w:tcPr>
          <w:p w14:paraId="B1BC9F4E">
            <w:pPr>
              <w:pStyle w:val="style0"/>
              <w:spacing w:after="60"/>
              <w:rPr/>
            </w:pPr>
            <w:r>
              <w:rPr>
                <w:sz w:val="17"/>
              </w:rPr>
              <w:t>Safety and trust</w:t>
            </w:r>
          </w:p>
        </w:tc>
        <w:tc>
          <w:tcPr>
            <w:tcW w:w="2448" w:type="dxa"/>
            <w:tcBorders/>
          </w:tcPr>
          <w:p w14:paraId="A77B2345">
            <w:pPr>
              <w:pStyle w:val="style0"/>
              <w:spacing w:after="60"/>
              <w:rPr/>
            </w:pPr>
            <w:r>
              <w:rPr>
                <w:sz w:val="17"/>
              </w:rPr>
              <w:t>Material corrections, unresolved safety issues, misleading claims</w:t>
            </w:r>
          </w:p>
        </w:tc>
        <w:tc>
          <w:tcPr>
            <w:tcW w:w="2448" w:type="dxa"/>
            <w:tcBorders/>
          </w:tcPr>
          <w:p w14:paraId="712B2004">
            <w:pPr>
              <w:pStyle w:val="style0"/>
              <w:spacing w:after="60"/>
              <w:rPr/>
            </w:pPr>
            <w:r>
              <w:rPr>
                <w:sz w:val="17"/>
              </w:rPr>
              <w:t>Correction and incident log; ongoing</w:t>
            </w:r>
          </w:p>
        </w:tc>
        <w:tc>
          <w:tcPr>
            <w:tcW w:w="2448" w:type="dxa"/>
            <w:tcBorders/>
          </w:tcPr>
          <w:p w14:paraId="3DA83A27">
            <w:pPr>
              <w:pStyle w:val="style0"/>
              <w:spacing w:after="60"/>
              <w:rPr/>
            </w:pPr>
            <w:r>
              <w:rPr>
                <w:sz w:val="17"/>
              </w:rPr>
              <w:t>Zero unresolved high-risk issues</w:t>
            </w:r>
          </w:p>
        </w:tc>
      </w:tr>
      <w:tr w14:paraId="B04AFDB9">
        <w:tblPrEx/>
        <w:trPr>
          <w:jc w:val="center"/>
        </w:trPr>
        <w:tc>
          <w:tcPr>
            <w:tcW w:w="2448" w:type="dxa"/>
            <w:tcBorders/>
          </w:tcPr>
          <w:p w14:paraId="057FC69E">
            <w:pPr>
              <w:pStyle w:val="style0"/>
              <w:spacing w:after="60"/>
              <w:rPr/>
            </w:pPr>
            <w:r>
              <w:rPr>
                <w:sz w:val="17"/>
              </w:rPr>
              <w:t>Maintenance</w:t>
            </w:r>
          </w:p>
        </w:tc>
        <w:tc>
          <w:tcPr>
            <w:tcW w:w="2448" w:type="dxa"/>
            <w:tcBorders/>
          </w:tcPr>
          <w:p w14:paraId="58CA5CAE">
            <w:pPr>
              <w:pStyle w:val="style0"/>
              <w:spacing w:after="60"/>
              <w:rPr/>
            </w:pPr>
            <w:r>
              <w:rPr>
                <w:sz w:val="17"/>
              </w:rPr>
              <w:t>Assets reviewed by due date</w:t>
            </w:r>
          </w:p>
        </w:tc>
        <w:tc>
          <w:tcPr>
            <w:tcW w:w="2448" w:type="dxa"/>
            <w:tcBorders/>
          </w:tcPr>
          <w:p w14:paraId="6D32EF8F">
            <w:pPr>
              <w:pStyle w:val="style0"/>
              <w:spacing w:after="60"/>
              <w:rPr/>
            </w:pPr>
            <w:r>
              <w:rPr>
                <w:sz w:val="17"/>
              </w:rPr>
              <w:t>Content register; monthly</w:t>
            </w:r>
          </w:p>
        </w:tc>
        <w:tc>
          <w:tcPr>
            <w:tcW w:w="2448" w:type="dxa"/>
            <w:tcBorders/>
          </w:tcPr>
          <w:p w14:paraId="3A50C742">
            <w:pPr>
              <w:pStyle w:val="style0"/>
              <w:spacing w:after="60"/>
              <w:rPr/>
            </w:pPr>
            <w:r>
              <w:rPr>
                <w:sz w:val="17"/>
              </w:rPr>
              <w:t>100% of due assets reviewed</w:t>
            </w:r>
          </w:p>
        </w:tc>
      </w:tr>
    </w:tbl>
    <w:p w14:paraId="36382A66">
      <w:pPr>
        <w:pStyle w:val="style2"/>
        <w:keepNext/>
        <w:rPr/>
      </w:pPr>
      <w:r>
        <w:t>12.1 Reporting and decision rules</w:t>
      </w:r>
    </w:p>
    <w:p w14:paraId="3C716866">
      <w:pPr>
        <w:pStyle w:val="style0"/>
        <w:rPr/>
      </w:pPr>
      <w:r>
        <w:t>The analytics lead should prepare a short monthly dashboard that separates output measures (assets published), process measures (review completion and deadlines), quality measures (source and clarity checks), and audience outcomes (comprehension, usefulness, and engagement). At the end of week 12, the team should review which topics and formats performed well, where readers misunderstood the content, which workflow stages caused delays, and whether the resources were adequate. Continue, revise, or discontinue formats based on evidence from this review. Do not use individual-level sensitive health data for targeting or evaluation unless there is a clear lawful basis and appropriate governance.</w:t>
      </w:r>
    </w:p>
    <w:p w14:paraId="BAF7CE98">
      <w:pPr>
        <w:pStyle w:val="style1"/>
        <w:keepNext/>
        <w:rPr/>
      </w:pPr>
      <w:r>
        <w:t>13. Risk Management and Continuous Improvement</w:t>
      </w:r>
    </w:p>
    <w:tbl>
      <w:tblPr>
        <w:tblStyle w:val="style172"/>
        <w:tblW w:w="0" w:type="auto"/>
        <w:jc w:val="center"/>
        <w:tblLook w:val="04A0" w:firstRow="1" w:lastRow="0" w:firstColumn="1" w:lastColumn="0" w:noHBand="0" w:noVBand="1"/>
      </w:tblPr>
      <w:tblGrid>
        <w:gridCol w:w="3264"/>
        <w:gridCol w:w="3264"/>
        <w:gridCol w:w="3264"/>
      </w:tblGrid>
      <w:tr w14:paraId="29CE16B2">
        <w:trPr>
          <w:jc w:val="center"/>
        </w:trPr>
        <w:tc>
          <w:tcPr>
            <w:tcW w:w="3264" w:type="dxa"/>
            <w:tcBorders/>
          </w:tcPr>
          <w:p w14:paraId="9C214E80">
            <w:pPr>
              <w:pStyle w:val="style0"/>
              <w:spacing w:after="60"/>
              <w:rPr/>
            </w:pPr>
            <w:r>
              <w:rPr>
                <w:sz w:val="17"/>
              </w:rPr>
              <w:t>Risk</w:t>
            </w:r>
          </w:p>
        </w:tc>
        <w:tc>
          <w:tcPr>
            <w:tcW w:w="3264" w:type="dxa"/>
            <w:tcBorders/>
          </w:tcPr>
          <w:p w14:paraId="156B2935">
            <w:pPr>
              <w:pStyle w:val="style0"/>
              <w:spacing w:after="60"/>
              <w:rPr/>
            </w:pPr>
            <w:r>
              <w:rPr>
                <w:sz w:val="17"/>
              </w:rPr>
              <w:t>Potential impact</w:t>
            </w:r>
          </w:p>
        </w:tc>
        <w:tc>
          <w:tcPr>
            <w:tcW w:w="3264" w:type="dxa"/>
            <w:tcBorders/>
          </w:tcPr>
          <w:p w14:paraId="655262E7">
            <w:pPr>
              <w:pStyle w:val="style0"/>
              <w:spacing w:after="60"/>
              <w:rPr/>
            </w:pPr>
            <w:r>
              <w:rPr>
                <w:sz w:val="17"/>
              </w:rPr>
              <w:t>Mitigation</w:t>
            </w:r>
          </w:p>
        </w:tc>
      </w:tr>
      <w:tr w14:paraId="7109A4B1">
        <w:tblPrEx/>
        <w:trPr>
          <w:jc w:val="center"/>
        </w:trPr>
        <w:tc>
          <w:tcPr>
            <w:tcW w:w="3264" w:type="dxa"/>
            <w:tcBorders/>
          </w:tcPr>
          <w:p w14:paraId="92D0AE24">
            <w:pPr>
              <w:pStyle w:val="style0"/>
              <w:spacing w:after="60"/>
              <w:rPr/>
            </w:pPr>
            <w:r>
              <w:rPr>
                <w:sz w:val="17"/>
              </w:rPr>
              <w:t>Outdated recommendations</w:t>
            </w:r>
          </w:p>
        </w:tc>
        <w:tc>
          <w:tcPr>
            <w:tcW w:w="3264" w:type="dxa"/>
            <w:tcBorders/>
          </w:tcPr>
          <w:p w14:paraId="8680735E">
            <w:pPr>
              <w:pStyle w:val="style0"/>
              <w:spacing w:after="60"/>
              <w:rPr/>
            </w:pPr>
            <w:r>
              <w:rPr>
                <w:sz w:val="17"/>
              </w:rPr>
              <w:t>Readers may act on obsolete guidance.</w:t>
            </w:r>
          </w:p>
        </w:tc>
        <w:tc>
          <w:tcPr>
            <w:tcW w:w="3264" w:type="dxa"/>
            <w:tcBorders/>
          </w:tcPr>
          <w:p w14:paraId="5002F089">
            <w:pPr>
              <w:pStyle w:val="style0"/>
              <w:spacing w:after="60"/>
              <w:rPr/>
            </w:pPr>
            <w:r>
              <w:rPr>
                <w:sz w:val="17"/>
              </w:rPr>
              <w:t>Assign review dates; monitor official updates; flag time-sensitive pages.</w:t>
            </w:r>
          </w:p>
        </w:tc>
      </w:tr>
      <w:tr w14:paraId="DC6A168F">
        <w:tblPrEx/>
        <w:trPr>
          <w:jc w:val="center"/>
        </w:trPr>
        <w:tc>
          <w:tcPr>
            <w:tcW w:w="3264" w:type="dxa"/>
            <w:tcBorders/>
          </w:tcPr>
          <w:p w14:paraId="CF94FD99">
            <w:pPr>
              <w:pStyle w:val="style0"/>
              <w:spacing w:after="60"/>
              <w:rPr/>
            </w:pPr>
            <w:r>
              <w:rPr>
                <w:sz w:val="17"/>
              </w:rPr>
              <w:t>Incorrect or fabricated source</w:t>
            </w:r>
          </w:p>
        </w:tc>
        <w:tc>
          <w:tcPr>
            <w:tcW w:w="3264" w:type="dxa"/>
            <w:tcBorders/>
          </w:tcPr>
          <w:p w14:paraId="8A8BD6B7">
            <w:pPr>
              <w:pStyle w:val="style0"/>
              <w:spacing w:after="60"/>
              <w:rPr/>
            </w:pPr>
            <w:r>
              <w:rPr>
                <w:sz w:val="17"/>
              </w:rPr>
              <w:t>Loss of trust and potential harm.</w:t>
            </w:r>
          </w:p>
        </w:tc>
        <w:tc>
          <w:tcPr>
            <w:tcW w:w="3264" w:type="dxa"/>
            <w:tcBorders/>
          </w:tcPr>
          <w:p w14:paraId="517A762F">
            <w:pPr>
              <w:pStyle w:val="style0"/>
              <w:spacing w:after="60"/>
              <w:rPr/>
            </w:pPr>
            <w:r>
              <w:rPr>
                <w:sz w:val="17"/>
              </w:rPr>
              <w:t>Verify every reference against the original source; do not rely on AI-generated citations.</w:t>
            </w:r>
          </w:p>
        </w:tc>
      </w:tr>
      <w:tr w14:paraId="F923D6EB">
        <w:tblPrEx/>
        <w:trPr>
          <w:jc w:val="center"/>
        </w:trPr>
        <w:tc>
          <w:tcPr>
            <w:tcW w:w="3264" w:type="dxa"/>
            <w:tcBorders/>
          </w:tcPr>
          <w:p w14:paraId="556E51E8">
            <w:pPr>
              <w:pStyle w:val="style0"/>
              <w:spacing w:after="60"/>
              <w:rPr/>
            </w:pPr>
            <w:r>
              <w:rPr>
                <w:sz w:val="17"/>
              </w:rPr>
              <w:t>Oversimplification</w:t>
            </w:r>
          </w:p>
        </w:tc>
        <w:tc>
          <w:tcPr>
            <w:tcW w:w="3264" w:type="dxa"/>
            <w:tcBorders/>
          </w:tcPr>
          <w:p w14:paraId="552F7705">
            <w:pPr>
              <w:pStyle w:val="style0"/>
              <w:spacing w:after="60"/>
              <w:rPr/>
            </w:pPr>
            <w:r>
              <w:rPr>
                <w:sz w:val="17"/>
              </w:rPr>
              <w:t>Important caveats or risks are lost.</w:t>
            </w:r>
          </w:p>
        </w:tc>
        <w:tc>
          <w:tcPr>
            <w:tcW w:w="3264" w:type="dxa"/>
            <w:tcBorders/>
          </w:tcPr>
          <w:p w14:paraId="C1F48918">
            <w:pPr>
              <w:pStyle w:val="style0"/>
              <w:spacing w:after="60"/>
              <w:rPr/>
            </w:pPr>
            <w:r>
              <w:rPr>
                <w:sz w:val="17"/>
              </w:rPr>
              <w:t>Use audience-specific versions and clinical review; link short posts to full context.</w:t>
            </w:r>
          </w:p>
        </w:tc>
      </w:tr>
      <w:tr w14:paraId="3820FD08">
        <w:tblPrEx/>
        <w:trPr>
          <w:jc w:val="center"/>
        </w:trPr>
        <w:tc>
          <w:tcPr>
            <w:tcW w:w="3264" w:type="dxa"/>
            <w:tcBorders/>
          </w:tcPr>
          <w:p w14:paraId="FAF1D11D">
            <w:pPr>
              <w:pStyle w:val="style0"/>
              <w:spacing w:after="60"/>
              <w:rPr/>
            </w:pPr>
            <w:r>
              <w:rPr>
                <w:sz w:val="17"/>
              </w:rPr>
              <w:t>Sensational framing</w:t>
            </w:r>
          </w:p>
        </w:tc>
        <w:tc>
          <w:tcPr>
            <w:tcW w:w="3264" w:type="dxa"/>
            <w:tcBorders/>
          </w:tcPr>
          <w:p w14:paraId="A1958B6E">
            <w:pPr>
              <w:pStyle w:val="style0"/>
              <w:spacing w:after="60"/>
              <w:rPr/>
            </w:pPr>
            <w:r>
              <w:rPr>
                <w:sz w:val="17"/>
              </w:rPr>
              <w:t>Fear, stigma, or distorted risk perception.</w:t>
            </w:r>
          </w:p>
        </w:tc>
        <w:tc>
          <w:tcPr>
            <w:tcW w:w="3264" w:type="dxa"/>
            <w:tcBorders/>
          </w:tcPr>
          <w:p w14:paraId="407FB478">
            <w:pPr>
              <w:pStyle w:val="style0"/>
              <w:spacing w:after="60"/>
              <w:rPr/>
            </w:pPr>
            <w:r>
              <w:rPr>
                <w:sz w:val="17"/>
              </w:rPr>
              <w:t>Use neutral headlines; pre-check claims and visuals; apply a risk-communication checklist.</w:t>
            </w:r>
          </w:p>
        </w:tc>
      </w:tr>
      <w:tr w14:paraId="DE02565E">
        <w:tblPrEx/>
        <w:trPr>
          <w:jc w:val="center"/>
        </w:trPr>
        <w:tc>
          <w:tcPr>
            <w:tcW w:w="3264" w:type="dxa"/>
            <w:tcBorders/>
          </w:tcPr>
          <w:p w14:paraId="38BBE9C3">
            <w:pPr>
              <w:pStyle w:val="style0"/>
              <w:spacing w:after="60"/>
              <w:rPr/>
            </w:pPr>
            <w:r>
              <w:rPr>
                <w:sz w:val="17"/>
              </w:rPr>
              <w:t>Review bottlenecks</w:t>
            </w:r>
          </w:p>
        </w:tc>
        <w:tc>
          <w:tcPr>
            <w:tcW w:w="3264" w:type="dxa"/>
            <w:tcBorders/>
          </w:tcPr>
          <w:p w14:paraId="152855D6">
            <w:pPr>
              <w:pStyle w:val="style0"/>
              <w:spacing w:after="60"/>
              <w:rPr/>
            </w:pPr>
            <w:r>
              <w:rPr>
                <w:sz w:val="17"/>
              </w:rPr>
              <w:t>Delays or pressure to bypass safety steps.</w:t>
            </w:r>
          </w:p>
        </w:tc>
        <w:tc>
          <w:tcPr>
            <w:tcW w:w="3264" w:type="dxa"/>
            <w:tcBorders/>
          </w:tcPr>
          <w:p w14:paraId="4F5D5F9A">
            <w:pPr>
              <w:pStyle w:val="style0"/>
              <w:spacing w:after="60"/>
              <w:rPr/>
            </w:pPr>
            <w:r>
              <w:rPr>
                <w:sz w:val="17"/>
              </w:rPr>
              <w:t>Set reviewer capacity and service levels; prioritise risk; delay publication if needed.</w:t>
            </w:r>
          </w:p>
        </w:tc>
      </w:tr>
      <w:tr w14:paraId="CEAD99EF">
        <w:tblPrEx/>
        <w:trPr>
          <w:jc w:val="center"/>
        </w:trPr>
        <w:tc>
          <w:tcPr>
            <w:tcW w:w="3264" w:type="dxa"/>
            <w:tcBorders/>
          </w:tcPr>
          <w:p w14:paraId="B3A70CDD">
            <w:pPr>
              <w:pStyle w:val="style0"/>
              <w:spacing w:after="60"/>
              <w:rPr/>
            </w:pPr>
            <w:r>
              <w:rPr>
                <w:sz w:val="17"/>
              </w:rPr>
              <w:t>Privacy breach</w:t>
            </w:r>
          </w:p>
        </w:tc>
        <w:tc>
          <w:tcPr>
            <w:tcW w:w="3264" w:type="dxa"/>
            <w:tcBorders/>
          </w:tcPr>
          <w:p w14:paraId="BF9F8105">
            <w:pPr>
              <w:pStyle w:val="style0"/>
              <w:spacing w:after="60"/>
              <w:rPr/>
            </w:pPr>
            <w:r>
              <w:rPr>
                <w:sz w:val="17"/>
              </w:rPr>
              <w:t>Exposure of sensitive information.</w:t>
            </w:r>
          </w:p>
        </w:tc>
        <w:tc>
          <w:tcPr>
            <w:tcW w:w="3264" w:type="dxa"/>
            <w:tcBorders/>
          </w:tcPr>
          <w:p w14:paraId="86F049A7">
            <w:pPr>
              <w:pStyle w:val="style0"/>
              <w:spacing w:after="60"/>
              <w:rPr/>
            </w:pPr>
            <w:r>
              <w:rPr>
                <w:sz w:val="17"/>
              </w:rPr>
              <w:t>Use consent, de-identification, approved systems, and data-minimisation principles.</w:t>
            </w:r>
          </w:p>
        </w:tc>
      </w:tr>
      <w:tr w14:paraId="C3BB2361">
        <w:tblPrEx/>
        <w:trPr>
          <w:jc w:val="center"/>
        </w:trPr>
        <w:tc>
          <w:tcPr>
            <w:tcW w:w="3264" w:type="dxa"/>
            <w:tcBorders/>
          </w:tcPr>
          <w:p w14:paraId="33CAB826">
            <w:pPr>
              <w:pStyle w:val="style0"/>
              <w:spacing w:after="60"/>
              <w:rPr/>
            </w:pPr>
            <w:r>
              <w:rPr>
                <w:sz w:val="17"/>
              </w:rPr>
              <w:t>Commercial conflict</w:t>
            </w:r>
          </w:p>
        </w:tc>
        <w:tc>
          <w:tcPr>
            <w:tcW w:w="3264" w:type="dxa"/>
            <w:tcBorders/>
          </w:tcPr>
          <w:p w14:paraId="2EB27B38">
            <w:pPr>
              <w:pStyle w:val="style0"/>
              <w:spacing w:after="60"/>
              <w:rPr/>
            </w:pPr>
            <w:r>
              <w:rPr>
                <w:sz w:val="17"/>
              </w:rPr>
              <w:t>Biased or misleading recommendations.</w:t>
            </w:r>
          </w:p>
        </w:tc>
        <w:tc>
          <w:tcPr>
            <w:tcW w:w="3264" w:type="dxa"/>
            <w:tcBorders/>
          </w:tcPr>
          <w:p w14:paraId="EE2BC327">
            <w:pPr>
              <w:pStyle w:val="style0"/>
              <w:spacing w:after="60"/>
              <w:rPr/>
            </w:pPr>
            <w:r>
              <w:rPr>
                <w:sz w:val="17"/>
              </w:rPr>
              <w:t>Disclose funding and relationships; separate education from promotion; seek regulatory review.</w:t>
            </w:r>
          </w:p>
        </w:tc>
      </w:tr>
      <w:tr w14:paraId="D97BD90F">
        <w:tblPrEx/>
        <w:trPr>
          <w:jc w:val="center"/>
        </w:trPr>
        <w:tc>
          <w:tcPr>
            <w:tcW w:w="3264" w:type="dxa"/>
            <w:tcBorders/>
          </w:tcPr>
          <w:p w14:paraId="9451403A">
            <w:pPr>
              <w:pStyle w:val="style0"/>
              <w:spacing w:after="60"/>
              <w:rPr/>
            </w:pPr>
            <w:r>
              <w:rPr>
                <w:sz w:val="17"/>
              </w:rPr>
              <w:t>Misinformation in comments</w:t>
            </w:r>
          </w:p>
        </w:tc>
        <w:tc>
          <w:tcPr>
            <w:tcW w:w="3264" w:type="dxa"/>
            <w:tcBorders/>
          </w:tcPr>
          <w:p w14:paraId="9C72B43F">
            <w:pPr>
              <w:pStyle w:val="style0"/>
              <w:spacing w:after="60"/>
              <w:rPr/>
            </w:pPr>
            <w:r>
              <w:rPr>
                <w:sz w:val="17"/>
              </w:rPr>
              <w:t>Unsafe claims may spread.</w:t>
            </w:r>
          </w:p>
        </w:tc>
        <w:tc>
          <w:tcPr>
            <w:tcW w:w="3264" w:type="dxa"/>
            <w:tcBorders/>
          </w:tcPr>
          <w:p w14:paraId="4BBB2D70">
            <w:pPr>
              <w:pStyle w:val="style0"/>
              <w:spacing w:after="60"/>
              <w:rPr/>
            </w:pPr>
            <w:r>
              <w:rPr>
                <w:sz w:val="17"/>
              </w:rPr>
              <w:t>Moderate under published rules; correct with evidence; escalate urgent risks.</w:t>
            </w:r>
          </w:p>
        </w:tc>
      </w:tr>
      <w:tr w14:paraId="C3BA0696">
        <w:tblPrEx/>
        <w:trPr>
          <w:jc w:val="center"/>
        </w:trPr>
        <w:tc>
          <w:tcPr>
            <w:tcW w:w="3264" w:type="dxa"/>
            <w:tcBorders/>
          </w:tcPr>
          <w:p w14:paraId="671BF06B">
            <w:pPr>
              <w:pStyle w:val="style0"/>
              <w:spacing w:after="60"/>
              <w:rPr/>
            </w:pPr>
            <w:r>
              <w:rPr>
                <w:sz w:val="17"/>
              </w:rPr>
              <w:t>Inaccessible content</w:t>
            </w:r>
          </w:p>
        </w:tc>
        <w:tc>
          <w:tcPr>
            <w:tcW w:w="3264" w:type="dxa"/>
            <w:tcBorders/>
          </w:tcPr>
          <w:p w14:paraId="378773A4">
            <w:pPr>
              <w:pStyle w:val="style0"/>
              <w:spacing w:after="60"/>
              <w:rPr/>
            </w:pPr>
            <w:r>
              <w:rPr>
                <w:sz w:val="17"/>
              </w:rPr>
              <w:t>Some audiences cannot use the information.</w:t>
            </w:r>
          </w:p>
        </w:tc>
        <w:tc>
          <w:tcPr>
            <w:tcW w:w="3264" w:type="dxa"/>
            <w:tcBorders/>
          </w:tcPr>
          <w:p w14:paraId="4A09550D">
            <w:pPr>
              <w:pStyle w:val="style0"/>
              <w:spacing w:after="60"/>
              <w:rPr/>
            </w:pPr>
            <w:r>
              <w:rPr>
                <w:sz w:val="17"/>
              </w:rPr>
              <w:t>Check captions, alt text, contrast, mobile display, reading complexity, and translation quality.</w:t>
            </w:r>
          </w:p>
        </w:tc>
      </w:tr>
      <w:tr w14:paraId="202CEC40">
        <w:tblPrEx/>
        <w:trPr>
          <w:jc w:val="center"/>
        </w:trPr>
        <w:tc>
          <w:tcPr>
            <w:tcW w:w="3264" w:type="dxa"/>
            <w:tcBorders/>
          </w:tcPr>
          <w:p w14:paraId="EB371C15">
            <w:pPr>
              <w:pStyle w:val="style0"/>
              <w:spacing w:after="60"/>
              <w:rPr/>
            </w:pPr>
            <w:r>
              <w:rPr>
                <w:sz w:val="17"/>
              </w:rPr>
              <w:t>AI error or bias</w:t>
            </w:r>
          </w:p>
        </w:tc>
        <w:tc>
          <w:tcPr>
            <w:tcW w:w="3264" w:type="dxa"/>
            <w:tcBorders/>
          </w:tcPr>
          <w:p w14:paraId="4FFAD5F0">
            <w:pPr>
              <w:pStyle w:val="style0"/>
              <w:spacing w:after="60"/>
              <w:rPr/>
            </w:pPr>
            <w:r>
              <w:rPr>
                <w:sz w:val="17"/>
              </w:rPr>
              <w:t>Confident but false or exclusionary content.</w:t>
            </w:r>
          </w:p>
        </w:tc>
        <w:tc>
          <w:tcPr>
            <w:tcW w:w="3264" w:type="dxa"/>
            <w:tcBorders/>
          </w:tcPr>
          <w:p w14:paraId="E2E25985">
            <w:pPr>
              <w:pStyle w:val="style0"/>
              <w:spacing w:after="60"/>
              <w:rPr/>
            </w:pPr>
            <w:r>
              <w:rPr>
                <w:sz w:val="17"/>
              </w:rPr>
              <w:t>Human verification, source checking, bias review, privacy controls, and clear accountability.</w:t>
            </w:r>
          </w:p>
        </w:tc>
      </w:tr>
    </w:tbl>
    <w:p w14:paraId="E0280374">
      <w:pPr>
        <w:pStyle w:val="style2"/>
        <w:keepNext/>
        <w:rPr/>
      </w:pPr>
      <w:r>
        <w:t>13.1 Continuous improvement cycle</w:t>
      </w:r>
    </w:p>
    <w:p w14:paraId="A852F34F">
      <w:pPr>
        <w:pStyle w:val="style0"/>
        <w:rPr/>
      </w:pPr>
      <w:r>
        <w:t>The team should use a repeatable cycle: plan the communication outcome, create the content, review it, publish it, measure performance, learn from feedback, and update the next version. Every quarter, review the topic backlog, audience profiles, evidence sources, accessibility practices, and channel mix. If a content item receives repeated questions about the same concept, revise the explanation rather than assuming readers failed to pay attention. If an article attracts many visits but poor comprehension, improve the structure and test it again. If the evidence changes, prioritise accuracy over preserving the original publication date or headline.</w:t>
      </w:r>
    </w:p>
    <w:p w14:paraId="9989D598">
      <w:pPr>
        <w:pStyle w:val="style1"/>
        <w:keepNext/>
        <w:rPr/>
      </w:pPr>
      <w:r>
        <w:t>14. Conclusion</w:t>
      </w:r>
    </w:p>
    <w:p w14:paraId="EC66C922">
      <w:pPr>
        <w:pStyle w:val="style0"/>
        <w:rPr/>
      </w:pPr>
      <w:r>
        <w:t>This strategic plan sets out a feasible approach to medical content creation that places scientific accuracy, audience understanding, ethics, accessibility, and accountability at the centre of the editorial process. It recognises that medical writing is not simply the conversion of technical information into shorter sentences. It is a structured communication activity requiring careful research, critical appraisal, audience analysis, transparent writing, qualified review, appropriate distribution, and ongoing maintenance.</w:t>
      </w:r>
    </w:p>
    <w:p w14:paraId="EF17C668">
      <w:pPr>
        <w:pStyle w:val="style0"/>
        <w:rPr/>
      </w:pPr>
      <w:r>
        <w:t>The proposed content pillars—prevention and health literacy, disease education, medicines and treatment literacy, research interpretation, public-health updates, and healthcare navigation—provide a balanced foundation for both professional and public audiences. A hub-and-spoke distribution model allows one verified evidence base to support multiple formats while retaining consistent meaning. The 12-week schedule offers a practical pilot: establish governance and audience insight, build research and review tools, publish a controlled set of assets, test comprehension, and use performance data to refine the next phase.</w:t>
      </w:r>
    </w:p>
    <w:p w14:paraId="09B4F38A">
      <w:pPr>
        <w:pStyle w:val="style0"/>
        <w:rPr/>
      </w:pPr>
      <w:r>
        <w:t>The plan’s expected outcomes are a dependable publication cadence, stronger source traceability, clearer health explanations, improved accessibility, more meaningful audience engagement, and a documented method for correcting errors. The proposed measures deliberately go beyond likes and views to assess whether content is understood, useful, safe, and current. This distinction is essential: successful medical communication is not the content that attracts the most attention at any cost, but the content that helps people interpret evidence and take appropriate next steps without misleading them.</w:t>
      </w:r>
    </w:p>
    <w:p w14:paraId="9584F7B4">
      <w:pPr>
        <w:pStyle w:val="style0"/>
        <w:rPr/>
      </w:pPr>
      <w:r>
        <w:t>Implementation will require a named content owner, qualified reviewers, realistic deadlines, access to reputable sources, and a willingness to delay publication when accuracy or safety is unresolved. The strategy should be treated as a living framework rather than a fixed calendar. As audience needs, evidence, technologies, and public-health priorities change, the team should adapt its topics and channels while retaining its core standards. With these safeguards in place, medical content can become a trusted bridge between research, healthcare practice, and public understanding.</w:t>
      </w:r>
    </w:p>
    <w:p w14:paraId="144D098D">
      <w:pPr>
        <w:pStyle w:val="style1"/>
        <w:keepNext/>
        <w:rPr/>
      </w:pPr>
      <w:r>
        <w:t>References</w:t>
      </w:r>
    </w:p>
    <w:p w14:paraId="DEF8164F">
      <w:pPr>
        <w:pStyle w:val="style0"/>
        <w:ind w:left="288" w:hanging="288"/>
        <w:rPr/>
      </w:pPr>
      <w:r>
        <w:t>1. World Health Organization. Communicating for health: principles for effective communication. https://www.who.int/about/communications</w:t>
      </w:r>
    </w:p>
    <w:p w14:paraId="93DCB5D1">
      <w:pPr>
        <w:pStyle w:val="style0"/>
        <w:ind w:left="288" w:hanging="288"/>
        <w:rPr/>
      </w:pPr>
      <w:r>
        <w:t>2. World Health Organization. Use plain language. https://www.who.int/about/communications/understandable/plain-language</w:t>
      </w:r>
    </w:p>
    <w:p w14:paraId="BEE580D3">
      <w:pPr>
        <w:pStyle w:val="style0"/>
        <w:ind w:left="288" w:hanging="288"/>
        <w:rPr/>
      </w:pPr>
      <w:r>
        <w:t>3. Centers for Disease Control and Prevention. The CDC Clear Communication Index. https://www.cdc.gov/ccindex/</w:t>
      </w:r>
    </w:p>
    <w:p w14:paraId="45B5A0AE">
      <w:pPr>
        <w:pStyle w:val="style0"/>
        <w:ind w:left="288" w:hanging="288"/>
        <w:rPr/>
      </w:pPr>
      <w:r>
        <w:t>4. Centers for Disease Control and Prevention. Clear Communication Index: Frequently Asked Questions. https://www.cdc.gov/ccindex/tool/faq.html</w:t>
      </w:r>
    </w:p>
    <w:p w14:paraId="902E7807">
      <w:pPr>
        <w:pStyle w:val="style0"/>
        <w:ind w:left="288" w:hanging="288"/>
        <w:rPr/>
      </w:pPr>
      <w:r>
        <w:t>5. International Committee of Medical Journal Editors (ICMJE). Recommendations for the Conduct, Reporting, Editing, and Publication of Scholarly Work in Medical Journals. Updated January 2026. https://www.icmje.org/recommendations/</w:t>
      </w:r>
    </w:p>
    <w:p w14:paraId="590DB056">
      <w:pPr>
        <w:pStyle w:val="style0"/>
        <w:ind w:left="288" w:hanging="288"/>
        <w:rPr/>
      </w:pPr>
      <w:r>
        <w:t>6. ICMJE. Defining the Role of Authors and Contributors. https://icmje.org/recommendations/browse/roles-and-responsibilities/defining-the-role-of-authors-and-contributors.html</w:t>
      </w:r>
    </w:p>
    <w:p w14:paraId="49884DD5">
      <w:pPr>
        <w:pStyle w:val="style0"/>
        <w:ind w:left="288" w:hanging="288"/>
        <w:rPr/>
      </w:pPr>
      <w:r>
        <w:t>7. Public Health Communications Collaborative. Plain Language for Public Health. Updated May 2026. https://publichealthcollaborative.org/communication-tools/plain-language-for-public-health/</w:t>
      </w:r>
    </w:p>
    <w:p w14:paraId="F6EF7E80">
      <w:pPr>
        <w:pStyle w:val="style0"/>
        <w:ind w:left="288" w:hanging="288"/>
        <w:rPr/>
      </w:pPr>
      <w:r>
        <w:t>8. Cochrane. Cochrane Library: evidence to inform healthcare decisions. https://www.cochranelibrary.com/</w:t>
      </w:r>
    </w:p>
    <w:p w14:paraId="6CB0F963">
      <w:pPr>
        <w:pStyle w:val="style0"/>
        <w:ind w:left="288" w:hanging="288"/>
        <w:rPr/>
      </w:pPr>
      <w:r>
        <w:t>9. National Library of Medicine. PubMed: biomedical literature database. https://pubmed.ncbi.nlm.nih.gov/</w:t>
      </w:r>
    </w:p>
    <w:p w14:paraId="9A91458D">
      <w:pPr>
        <w:pStyle w:val="style0"/>
        <w:ind w:left="288" w:hanging="288"/>
        <w:rPr/>
      </w:pPr>
      <w:r>
        <w:t>10. World Health Organization. Communicating for health: framework and resources. https://www.who.int/docs/default-source/documents/communicating-for-health/communication-framework.pdf</w:t>
      </w:r>
    </w:p>
    <w:p w14:paraId="AC78C1E4">
      <w:pPr>
        <w:pStyle w:val="style1"/>
        <w:keepNext/>
        <w:rPr/>
      </w:pPr>
      <w:r>
        <w:t>Appendix A. Medical Content Brief Template</w:t>
      </w:r>
    </w:p>
    <w:p w14:paraId="4E09ECA1">
      <w:pPr>
        <w:pStyle w:val="style48"/>
        <w:rPr/>
      </w:pPr>
      <w:r>
        <w:t>Working title and asset ID</w:t>
      </w:r>
    </w:p>
    <w:p w14:paraId="3E6CC632">
      <w:pPr>
        <w:pStyle w:val="style48"/>
        <w:rPr/>
      </w:pPr>
      <w:r>
        <w:t>Primary audience and expected prior knowledge</w:t>
      </w:r>
    </w:p>
    <w:p w14:paraId="2E07145A">
      <w:pPr>
        <w:pStyle w:val="style48"/>
        <w:rPr/>
      </w:pPr>
      <w:r>
        <w:t>Single overarching communication outcome</w:t>
      </w:r>
    </w:p>
    <w:p w14:paraId="8D987B53">
      <w:pPr>
        <w:pStyle w:val="style48"/>
        <w:rPr/>
      </w:pPr>
      <w:r>
        <w:t>Reader questions to answer</w:t>
      </w:r>
    </w:p>
    <w:p w14:paraId="35F21E74">
      <w:pPr>
        <w:pStyle w:val="style48"/>
        <w:rPr/>
      </w:pPr>
      <w:r>
        <w:t>Recommended format, channel, length, language, and accessibility needs</w:t>
      </w:r>
    </w:p>
    <w:p w14:paraId="41CD9151">
      <w:pPr>
        <w:pStyle w:val="style48"/>
        <w:rPr/>
      </w:pPr>
      <w:r>
        <w:t>Key claims and supporting source links</w:t>
      </w:r>
    </w:p>
    <w:p w14:paraId="5FBE578F">
      <w:pPr>
        <w:pStyle w:val="style48"/>
        <w:rPr/>
      </w:pPr>
      <w:r>
        <w:t>Evidence limitations, disagreements, and uncertainties</w:t>
      </w:r>
    </w:p>
    <w:p w14:paraId="99044FCA">
      <w:pPr>
        <w:pStyle w:val="style48"/>
        <w:rPr/>
      </w:pPr>
      <w:r>
        <w:t>Required safety information and appropriate call to action</w:t>
      </w:r>
    </w:p>
    <w:p w14:paraId="FA3C898D">
      <w:pPr>
        <w:pStyle w:val="style48"/>
        <w:rPr/>
      </w:pPr>
      <w:r>
        <w:t>Clinical reviewer, editor, content owner, and approval deadline</w:t>
      </w:r>
    </w:p>
    <w:p w14:paraId="83EB438E">
      <w:pPr>
        <w:pStyle w:val="style48"/>
        <w:rPr/>
      </w:pPr>
      <w:r>
        <w:t>Publication date, review date, and update trigger</w:t>
      </w:r>
    </w:p>
    <w:p w14:paraId="E613BF23">
      <w:pPr>
        <w:pStyle w:val="style48"/>
        <w:rPr/>
      </w:pPr>
      <w:r>
        <w:t>Success metric and planned feedback method</w:t>
      </w:r>
    </w:p>
    <w:p w14:paraId="0A4D4D15">
      <w:pPr>
        <w:pStyle w:val="style1"/>
        <w:keepNext/>
        <w:rPr/>
      </w:pPr>
      <w:r>
        <w:t>Appendix B. Short Public-Facing Content Checklist</w:t>
      </w:r>
    </w:p>
    <w:p w14:paraId="1E45240D">
      <w:pPr>
        <w:pStyle w:val="style48"/>
        <w:rPr/>
      </w:pPr>
      <w:r>
        <w:t>Can a reader identify the main point in the first few sentences?</w:t>
      </w:r>
    </w:p>
    <w:p w14:paraId="D6414BF2">
      <w:pPr>
        <w:pStyle w:val="style48"/>
        <w:rPr/>
      </w:pPr>
      <w:r>
        <w:t>Are technical words explained in everyday language?</w:t>
      </w:r>
    </w:p>
    <w:p w14:paraId="25D41806">
      <w:pPr>
        <w:pStyle w:val="style48"/>
        <w:rPr/>
      </w:pPr>
      <w:r>
        <w:t>Is the action clear, realistic, and appropriate?</w:t>
      </w:r>
    </w:p>
    <w:p w14:paraId="674628CF">
      <w:pPr>
        <w:pStyle w:val="style48"/>
        <w:rPr/>
      </w:pPr>
      <w:r>
        <w:t>Are numbers explained with a denominator and time frame where needed?</w:t>
      </w:r>
    </w:p>
    <w:p w14:paraId="D00C7020">
      <w:pPr>
        <w:pStyle w:val="style48"/>
        <w:rPr/>
      </w:pPr>
      <w:r>
        <w:t>Does the content say what is uncertain or not known?</w:t>
      </w:r>
    </w:p>
    <w:p w14:paraId="A4AE9F6C">
      <w:pPr>
        <w:pStyle w:val="style48"/>
        <w:rPr/>
      </w:pPr>
      <w:r>
        <w:t>Are source links, date, and reviewer information easy to find?</w:t>
      </w:r>
    </w:p>
    <w:p w14:paraId="3402687C">
      <w:pPr>
        <w:pStyle w:val="style48"/>
        <w:rPr/>
      </w:pPr>
      <w:r>
        <w:t>Are captions, alt text, contrast, and mobile layout checked?</w:t>
      </w:r>
    </w:p>
    <w:p w14:paraId="032D69EB">
      <w:pPr>
        <w:pStyle w:val="style48"/>
        <w:rPr/>
      </w:pPr>
      <w:r>
        <w:t>Does the content avoid personalised diagnosis or treatment instructions?</w:t>
      </w:r>
    </w:p>
    <w:p w14:paraId="747B84A1">
      <w:pPr>
        <w:pStyle w:val="style48"/>
        <w:rPr/>
      </w:pPr>
      <w:r>
        <w:t>Has a qualified reviewer approved the final version?</w:t>
      </w:r>
    </w:p>
    <w:p w14:paraId="614ED137">
      <w:pPr>
        <w:pStyle w:val="style48"/>
        <w:rPr/>
      </w:pPr>
      <w:r>
        <w:t>Is there a clear process for feedback and correction?</w:t>
      </w:r>
    </w:p>
    <w:p w14:paraId="3EE4B347">
      <w:pPr>
        <w:pStyle w:val="style1"/>
        <w:keepNext/>
        <w:rPr/>
      </w:pPr>
      <w:r>
        <w:t>Appendix C. Sample Monthly Content Mix</w:t>
      </w:r>
    </w:p>
    <w:p w14:paraId="595268C8">
      <w:pPr>
        <w:pStyle w:val="style0"/>
        <w:rPr/>
      </w:pPr>
      <w:r>
        <w:t>A practical monthly mix could include two public-facing disease or prevention explainers, one medicine-literacy article, one research-literacy explainer, one professional evidence brief, two infographics or carousels derived from approved articles, two short video scripts, and one newsletter digest. The exact mix should be adjusted to reviewer availability and audience response. The programme should not produce a new asset simply to fill a slot if the evidence is weak or the topic lacks a clear communication purpose.</w:t>
      </w:r>
    </w:p>
    <w:sectPr>
      <w:headerReference w:type="default" r:id="rId2"/>
      <w:footerReference w:type="default" r:id="rId3"/>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89B8BC">
    <w:pPr>
      <w:pStyle w:val="style32"/>
      <w:jc w:val="center"/>
      <w:rPr/>
    </w:pPr>
    <w:r>
      <w:rPr>
        <w:color w:val="646464"/>
        <w:sz w:val="16"/>
      </w:rPr>
      <w:t>Medical Communication Strategy • 2026</w:t>
    </w:r>
    <w:r>
      <w:t xml:space="preserve">  |  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A2E9D5">
    <w:pPr>
      <w:pStyle w:val="style31"/>
      <w:jc w:val="right"/>
      <w:rPr/>
    </w:pPr>
    <w:r>
      <w:rPr>
        <w:color w:val="646464"/>
        <w:sz w:val="16"/>
      </w:rPr>
      <w:t>STRATEGIC PLAN | MEDICAL CONTENT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Calibri" w:hAnsi="Calibri"/>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764ef59-e4fb-4684-80c5-b2bc21a6766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b80493c-2a83-4239-9356-7874c9b1c3c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4e79"/>
      <w:sz w:val="34"/>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1f4e79"/>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1f4e79"/>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613756c-ebff-41ad-bdef-248a0e66d71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a87dabe-ca79-4242-9b38-ebc17ea8c5c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336d174-3ff8-4fab-86c0-338811f94d6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f4e79"/>
      <w:spacing w:val="5"/>
      <w:kern w:val="28"/>
      <w:sz w:val="50"/>
      <w:szCs w:val="52"/>
    </w:rPr>
  </w:style>
  <w:style w:type="character" w:customStyle="1" w:styleId="style4102">
    <w:name w:val="Title Char_bec12fcd-b43d-4794-8bc7-5802f44d337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ac1bbe2-9fe8-4870-9c56-7c56b5d45885"/>
    <w:basedOn w:val="style65"/>
    <w:next w:val="style4108"/>
    <w:link w:val="style180"/>
    <w:uiPriority w:val="29"/>
    <w:rPr>
      <w:i/>
      <w:iCs/>
      <w:color w:val="000000"/>
    </w:rPr>
  </w:style>
  <w:style w:type="character" w:customStyle="1" w:styleId="style4109">
    <w:name w:val="Heading 4 Char_ca24b32d-4614-44bf-bfeb-7290bb8aaa4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cb3baa7-17cb-4c21-8156-11f5511b00bb"/>
    <w:basedOn w:val="style65"/>
    <w:next w:val="style4110"/>
    <w:link w:val="style5"/>
    <w:uiPriority w:val="9"/>
    <w:rPr>
      <w:rFonts w:ascii="Calibri" w:cs="宋体" w:eastAsia="ＭＳ ゴシック" w:hAnsi="Calibri"/>
      <w:color w:val="243f60"/>
    </w:rPr>
  </w:style>
  <w:style w:type="character" w:customStyle="1" w:styleId="style4111">
    <w:name w:val="Heading 6 Char_6775b5f0-b688-47ec-853e-783dd6b7e3a5"/>
    <w:basedOn w:val="style65"/>
    <w:next w:val="style4111"/>
    <w:link w:val="style6"/>
    <w:uiPriority w:val="9"/>
    <w:rPr>
      <w:rFonts w:ascii="Calibri" w:cs="宋体" w:eastAsia="ＭＳ ゴシック" w:hAnsi="Calibri"/>
      <w:i/>
      <w:iCs/>
      <w:color w:val="243f60"/>
    </w:rPr>
  </w:style>
  <w:style w:type="character" w:customStyle="1" w:styleId="style4112">
    <w:name w:val="Heading 7 Char_b23d1198-f6e8-4b0d-b085-816805164f93"/>
    <w:basedOn w:val="style65"/>
    <w:next w:val="style4112"/>
    <w:link w:val="style7"/>
    <w:uiPriority w:val="9"/>
    <w:rPr>
      <w:rFonts w:ascii="Calibri" w:cs="宋体" w:eastAsia="ＭＳ ゴシック" w:hAnsi="Calibri"/>
      <w:i/>
      <w:iCs/>
      <w:color w:val="404040"/>
    </w:rPr>
  </w:style>
  <w:style w:type="character" w:customStyle="1" w:styleId="style4113">
    <w:name w:val="Heading 8 Char_e1929a1e-1845-4c89-8b17-9e82a980cc0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17ced9b-34a1-4edd-ab98-309dd509980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9c99b63-e3c7-4345-9d62-6e25a416acc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6628</Words>
  <Pages>1</Pages>
  <Characters>43278</Characters>
  <Application>WPS Office</Application>
  <DocSecurity>0</DocSecurity>
  <Paragraphs>437</Paragraphs>
  <ScaleCrop>false</ScaleCrop>
  <LinksUpToDate>false</LinksUpToDate>
  <CharactersWithSpaces>49512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CPH2613</lastModifiedBy>
  <dcterms:modified xsi:type="dcterms:W3CDTF">2026-10-28T13:29:02Z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3c3bff3650664f4dadf4075d092f069c_23</vt:lpwstr>
  </property>
</Properties>
</file>