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Propiedades</w:t>
      </w:r>
      <w:r>
        <w:t xml:space="preserve"> </w:t>
      </w:r>
      <w:r>
        <w:t xml:space="preserve">del</w:t>
      </w:r>
      <w:r>
        <w:t xml:space="preserve"> </w:t>
      </w:r>
      <w:r>
        <w:t xml:space="preserve">estimador</w:t>
      </w:r>
      <w:r>
        <w:t xml:space="preserve"> </w:t>
      </w:r>
      <w:r>
        <w:t xml:space="preserve">ridge</w:t>
      </w:r>
      <w:r>
        <w:t xml:space="preserve"> </w:t>
      </w:r>
      <w:r>
        <w:t xml:space="preserve">(3.12)</w:t>
      </w:r>
    </w:p>
    <w:p>
      <w:pPr>
        <w:pStyle w:val="Subtitle"/>
      </w:pPr>
      <w:r>
        <w:t xml:space="preserve">Solución</w:t>
      </w:r>
      <w:r>
        <w:t xml:space="preserve"> </w:t>
      </w:r>
      <w:r>
        <w:t xml:space="preserve">al</w:t>
      </w:r>
      <w:r>
        <w:t xml:space="preserve"> </w:t>
      </w:r>
      <w:r>
        <w:t xml:space="preserve">ejercicio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sección</w:t>
      </w:r>
      <w:r>
        <w:t xml:space="preserve"> </w:t>
      </w:r>
      <w:r>
        <w:t xml:space="preserve">3.4.2</w:t>
      </w:r>
      <w:r>
        <w:t xml:space="preserve"> </w:t>
      </w:r>
      <w:r>
        <w:t xml:space="preserve">(Regresión</w:t>
      </w:r>
      <w:r>
        <w:t xml:space="preserve"> </w:t>
      </w:r>
      <w:r>
        <w:t xml:space="preserve">ridge)</w:t>
      </w:r>
    </w:p>
    <w:bookmarkStart w:id="20" w:name="preliminares"/>
    <w:p>
      <w:pPr>
        <w:pStyle w:val="Heading1"/>
      </w:pPr>
      <w:r>
        <w:t xml:space="preserve">Preliminares</w:t>
      </w:r>
    </w:p>
    <w:p>
      <w:pPr>
        <w:pStyle w:val="FirstParagraph"/>
      </w:pPr>
      <w:r>
        <w:t xml:space="preserve">Las cuatro propiedades de (3.12) se verifican con el modelo</w:t>
      </w:r>
      <w:r>
        <w:t xml:space="preserve"> </w:t>
      </w:r>
      <m:oMath>
        <m:r>
          <m:rPr>
            <m:sty m:val="b"/>
          </m:rPr>
          <m:t>y</m:t>
        </m:r>
        <m:r>
          <m:rPr>
            <m:sty m:val="p"/>
          </m:rPr>
          <m:t>=</m:t>
        </m:r>
        <m:r>
          <m:t>X</m:t>
        </m:r>
        <m:r>
          <m:rPr>
            <m:sty m:val="b"/>
          </m:rPr>
          <m:t>β</m:t>
        </m:r>
        <m:r>
          <m:rPr>
            <m:sty m:val="p"/>
          </m:rPr>
          <m:t>+</m:t>
        </m:r>
        <m:r>
          <m:rPr>
            <m:sty m:val="b"/>
          </m:rPr>
          <m:t>ε</m:t>
        </m:r>
      </m:oMath>
      <w:r>
        <w:t xml:space="preserve">,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ε</m:t>
            </m:r>
          </m:e>
        </m:d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ε</m:t>
            </m:r>
          </m:e>
        </m:d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t>I</m:t>
            </m:r>
          </m:e>
          <m:sub>
            <m:r>
              <m:t>n</m:t>
            </m:r>
          </m:sub>
        </m:sSub>
      </m:oMath>
      <w:r>
        <w:t xml:space="preserve">, con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centrada y estandarizada como en (3.11). El estimador ridge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β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y</m:t>
          </m:r>
          <m:r>
            <m:rPr>
              <m:sty m:val="p"/>
            </m:rPr>
            <m:t>,</m:t>
          </m:r>
          <m:r>
            <m:t>  </m:t>
          </m:r>
          <m:r>
            <m:t>λ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r>
          <m:rPr>
            <m:sty m:val="p"/>
          </m:rPr>
          <m:t>+</m:t>
        </m:r>
        <m:r>
          <m:t>λ</m:t>
        </m:r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. Se usan cuatro hechos:</w:t>
      </w:r>
    </w:p>
    <w:p>
      <w:pPr>
        <w:numPr>
          <w:ilvl w:val="0"/>
          <w:numId w:val="1001"/>
        </w:numPr>
        <w:pStyle w:val="Compact"/>
      </w:pPr>
      <m:oMath>
        <m:r>
          <m:t>M</m:t>
        </m:r>
      </m:oMath>
      <w:r>
        <w:t xml:space="preserve"> </w:t>
      </w:r>
      <w:r>
        <w:t xml:space="preserve">es simétrica porque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t xml:space="preserve"> </w:t>
      </w:r>
      <w:r>
        <w:t xml:space="preserve">lo es; por tanto,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también.</w:t>
      </w:r>
    </w:p>
    <w:p>
      <w:pPr>
        <w:numPr>
          <w:ilvl w:val="0"/>
          <w:numId w:val="1001"/>
        </w:numPr>
        <w:pStyle w:val="Compact"/>
      </w:pPr>
      <m:oMath>
        <m:r>
          <m:t>M</m:t>
        </m:r>
      </m:oMath>
      <w:r>
        <w:t xml:space="preserve"> </w:t>
      </w:r>
      <w:r>
        <w:t xml:space="preserve">es invertible para todo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 si</w:t>
      </w:r>
      <w:r>
        <w:t xml:space="preserve"> </w:t>
      </w:r>
      <m:oMath>
        <m:r>
          <m:rPr>
            <m:sty m:val="b"/>
          </m:rPr>
          <m:t>v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, entonces</w:t>
      </w:r>
      <w:r>
        <w:t xml:space="preserve"> </w:t>
      </w:r>
      <m:oMath>
        <m:sSup>
          <m:e>
            <m:r>
              <m:rPr>
                <m:sty m:val="b"/>
              </m:rPr>
              <m:t>v</m:t>
            </m:r>
          </m:e>
          <m:sup>
            <m:r>
              <m:t>T</m:t>
            </m:r>
          </m:sup>
        </m:sSup>
        <m:r>
          <m:t>M</m:t>
        </m:r>
        <m:r>
          <m:rPr>
            <m:sty m:val="b"/>
          </m:rPr>
          <m:t>v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X</m:t>
        </m:r>
        <m:r>
          <m:rPr>
            <m:sty m:val="b"/>
          </m:rPr>
          <m:t>v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λ</m:t>
        </m:r>
        <m:r>
          <m:rPr>
            <m:sty m:val="p"/>
          </m:rPr>
          <m:t>∥</m:t>
        </m:r>
        <m:r>
          <m:rPr>
            <m:sty m:val="b"/>
          </m:rPr>
          <m:t>v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 Esto vale aunque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t xml:space="preserve"> </w:t>
      </w:r>
      <w:r>
        <w:t xml:space="preserve">sea singular, y por eso ridge funciona con multicolinealidad.</w:t>
      </w:r>
    </w:p>
    <w:p>
      <w:pPr>
        <w:numPr>
          <w:ilvl w:val="0"/>
          <w:numId w:val="1001"/>
        </w:numPr>
        <w:pStyle w:val="Compact"/>
      </w:pPr>
      <w:r>
        <w:t xml:space="preserve">El estimador es lineal en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β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b"/>
          </m:rPr>
          <m:t>y</m:t>
        </m:r>
      </m:oMath>
      <w:r>
        <w:t xml:space="preserve">, con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constante (no aleatoria).</w:t>
      </w:r>
    </w:p>
    <w:p>
      <w:pPr>
        <w:numPr>
          <w:ilvl w:val="0"/>
          <w:numId w:val="1001"/>
        </w:numPr>
        <w:pStyle w:val="Compact"/>
      </w:pP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y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b"/>
          </m:rPr>
          <m:t>β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y</m:t>
            </m:r>
          </m:e>
        </m:d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t>I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"/>
    <w:bookmarkStart w:id="21" w:name="esperanza"/>
    <w:p>
      <w:pPr>
        <w:pStyle w:val="Heading1"/>
      </w:pPr>
      <w:r>
        <w:t xml:space="preserve">1. Esperanza</w:t>
      </w:r>
    </w:p>
    <w:p>
      <w:pPr>
        <w:pStyle w:val="FirstParagraph"/>
      </w:pPr>
      <w:r>
        <w:t xml:space="preserve">El estimador ridge es sesgado: su esperanza es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r>
          <m:rPr>
            <m:sty m:val="b"/>
          </m:rPr>
          <m:t>β</m:t>
        </m:r>
      </m:oMath>
      <w:r>
        <w:t xml:space="preserve">, no</w:t>
      </w:r>
      <w:r>
        <w:t xml:space="preserve"> </w:t>
      </w:r>
      <m:oMath>
        <m:r>
          <m:rPr>
            <m:sty m:val="b"/>
          </m:rPr>
          <m:t>β</m:t>
        </m:r>
      </m:oMath>
      <w:r>
        <w:t xml:space="preserve">. Por linealidad de la esperanza: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β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y</m:t>
              </m:r>
            </m:e>
          </m:d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r>
            <m:rPr>
              <m:sty m:val="b"/>
            </m:rPr>
            <m:t>β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r>
            <m:rPr>
              <m:sty m:val="b"/>
            </m:rPr>
            <m:t>β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◼</m:t>
          </m:r>
        </m:oMath>
      </m:oMathPara>
    </w:p>
    <w:bookmarkEnd w:id="21"/>
    <w:bookmarkStart w:id="22" w:name="matriz-de-covarianza"/>
    <w:p>
      <w:pPr>
        <w:pStyle w:val="Heading1"/>
      </w:pPr>
      <w:r>
        <w:t xml:space="preserve">2. Matriz de covarianza</w:t>
      </w:r>
    </w:p>
    <w:p>
      <w:pPr>
        <w:pStyle w:val="FirstParagraph"/>
      </w:pPr>
      <w:r>
        <w:t xml:space="preserve">Con el Ejercicio 1 de la sección 3.6,</w:t>
      </w:r>
      <w:r>
        <w:t xml:space="preserve"> </w:t>
      </w:r>
      <m:oMath>
        <m:r>
          <m:rPr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b"/>
              </m:rPr>
              <m:t>y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y</m:t>
            </m:r>
          </m:e>
        </m:d>
        <m:sSup>
          <m:e>
            <m:r>
              <m:t>A</m:t>
            </m:r>
          </m:e>
          <m:sup>
            <m:r>
              <m:t>T</m:t>
            </m:r>
          </m:sup>
        </m:sSup>
      </m:oMath>
      <w:r>
        <w:t xml:space="preserve">. Como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es simétrica,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β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◼</m:t>
          </m:r>
        </m:oMath>
      </m:oMathPara>
    </w:p>
    <w:p>
      <w:pPr>
        <w:pStyle w:val="FirstParagraph"/>
      </w:pPr>
      <w:r>
        <w:t xml:space="preserve">En el enunciado de la página aparece</w:t>
      </w:r>
      <w:r>
        <w:t xml:space="preserve"> </w:t>
      </w:r>
      <m:oMath>
        <m:r>
          <m:rPr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β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; debe ser</w:t>
      </w:r>
      <w:r>
        <w:t xml:space="preserve"> </w:t>
      </w:r>
      <m:oMath>
        <m:r>
          <m:rPr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rPr>
                        <m:sty m:val="b"/>
                      </m:rPr>
                      <m:t>β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</m:oMath>
      <w:r>
        <w:t xml:space="preserve">. Es una errata de notación.</w:t>
      </w:r>
    </w:p>
    <w:bookmarkEnd w:id="22"/>
    <w:bookmarkStart w:id="23" w:name="sesgo"/>
    <w:p>
      <w:pPr>
        <w:pStyle w:val="Heading1"/>
      </w:pPr>
      <w:r>
        <w:t xml:space="preserve">3. Sesgo</w:t>
      </w:r>
    </w:p>
    <w:p>
      <w:pPr>
        <w:pStyle w:val="FirstParagraph"/>
      </w:pPr>
      <w:r>
        <w:t xml:space="preserve">Como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λ</m:t>
        </m:r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, se resta</w:t>
      </w:r>
      <w:r>
        <w:t xml:space="preserve"> </w:t>
      </w:r>
      <m:oMath>
        <m:r>
          <m:rPr>
            <m:sty m:val="b"/>
          </m:rPr>
          <m:t>β</m:t>
        </m:r>
      </m:oMath>
      <w:r>
        <w:t xml:space="preserve"> </w:t>
      </w:r>
      <w:r>
        <w:t xml:space="preserve">de la esperanza de la propiedad 1: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β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rPr>
              <m:sty m:val="b"/>
            </m:rPr>
            <m:t>β</m:t>
          </m:r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r>
            <m:rPr>
              <m:sty m:val="b"/>
            </m:rPr>
            <m:t>β</m:t>
          </m:r>
          <m:r>
            <m:rPr>
              <m:sty m:val="p"/>
            </m:rPr>
            <m:t>−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M</m:t>
          </m:r>
          <m:r>
            <m:rPr>
              <m:sty m:val="b"/>
            </m:rPr>
            <m:t>β</m:t>
          </m:r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T</m:t>
                  </m:r>
                </m:sup>
              </m:sSup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</m:e>
          </m:d>
          <m:r>
            <m:rPr>
              <m:sty m:val="b"/>
            </m:rP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λ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"/>
            </m:rPr>
            <m:t>β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◼</m:t>
          </m:r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el sesgo es no nulo; se anula cuando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(caso de mínimos cuadrados).</w:t>
      </w:r>
    </w:p>
    <w:bookmarkEnd w:id="23"/>
    <w:bookmarkStart w:id="24" w:name="error-cuadrático-medio-total"/>
    <w:p>
      <w:pPr>
        <w:pStyle w:val="Heading1"/>
      </w:pPr>
      <w:r>
        <w:t xml:space="preserve">4. Error cuadrático medio total</w:t>
      </w:r>
    </w:p>
    <w:p>
      <w:pPr>
        <w:pStyle w:val="FirstParagraph"/>
      </w:pPr>
      <w:r>
        <w:t xml:space="preserve">El error cuadrático medio total es la suma de la traza de la covarianza (varianzas) y el sesgo al cuadrado. Sea</w:t>
      </w:r>
      <w:r>
        <w:t xml:space="preserve"> </w:t>
      </w:r>
      <m:oMath>
        <m:r>
          <m:rPr>
            <m:sty m:val="b"/>
          </m:rPr>
          <m:t>W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β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−</m:t>
        </m:r>
        <m:r>
          <m:rPr>
            <m:sty m:val="b"/>
          </m:rPr>
          <m:t>β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b"/>
          </m:rPr>
          <m:t>μ</m:t>
        </m:r>
        <m:r>
          <m:rPr>
            <m:sty m:val="p"/>
          </m:rPr>
          <m:t>=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W</m:t>
            </m:r>
          </m:e>
        </m:d>
      </m:oMath>
      <w:r>
        <w:t xml:space="preserve">. Restar la constante</w:t>
      </w:r>
      <w:r>
        <w:t xml:space="preserve"> </w:t>
      </w:r>
      <m:oMath>
        <m:r>
          <m:rPr>
            <m:sty m:val="b"/>
          </m:rPr>
          <m:t>β</m:t>
        </m:r>
      </m:oMath>
      <w:r>
        <w:t xml:space="preserve"> </w:t>
      </w:r>
      <w:r>
        <w:t xml:space="preserve">no cambia la covarianza, así que</w:t>
      </w:r>
      <w:r>
        <w:t xml:space="preserve"> </w:t>
      </w:r>
      <m:oMath>
        <m:r>
          <m:rPr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W</m:t>
            </m:r>
          </m:e>
        </m:d>
        <m:r>
          <m:rPr>
            <m:sty m:val="p"/>
          </m:rPr>
          <m:t>=</m:t>
        </m:r>
        <m:r>
          <m:rPr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rPr>
                        <m:sty m:val="b"/>
                      </m:rPr>
                      <m:t>β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</m:oMath>
      <w:r>
        <w:t xml:space="preserve">. Como</w:t>
      </w:r>
      <w:r>
        <w:t xml:space="preserve"> </w:t>
      </w:r>
      <m:oMath>
        <m:sSup>
          <m:e>
            <m:r>
              <m:rPr>
                <m:sty m:val="b"/>
              </m:rPr>
              <m:t>W</m:t>
            </m:r>
          </m:e>
          <m:sup>
            <m:r>
              <m:t>T</m:t>
            </m:r>
          </m:sup>
        </m:sSup>
        <m:r>
          <m:rPr>
            <m:sty m:val="b"/>
          </m:rPr>
          <m:t>W</m:t>
        </m:r>
        <m:r>
          <m:rPr>
            <m:sty m:val="p"/>
          </m:rPr>
          <m:t>=</m:t>
        </m:r>
        <m:r>
          <m:rPr>
            <m:sty m:val="p"/>
          </m:rPr>
          <m:t>tr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W</m:t>
            </m:r>
            <m:sSup>
              <m:e>
                <m:r>
                  <m:rPr>
                    <m:sty m:val="b"/>
                  </m:rPr>
                  <m:t>W</m:t>
                </m:r>
              </m:e>
              <m:sup>
                <m:r>
                  <m:t>T</m:t>
                </m:r>
              </m:sup>
            </m:sSup>
          </m:e>
        </m:d>
      </m:oMath>
      <w:r>
        <w:t xml:space="preserve"> </w:t>
      </w:r>
      <w:r>
        <w:t xml:space="preserve">y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W</m:t>
            </m:r>
            <m:sSup>
              <m:e>
                <m:r>
                  <m:rPr>
                    <m:sty m:val="b"/>
                  </m:rPr>
                  <m:t>W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W</m:t>
            </m:r>
          </m:e>
        </m:d>
        <m:r>
          <m:rPr>
            <m:sty m:val="p"/>
          </m:rPr>
          <m:t>+</m:t>
        </m:r>
        <m:r>
          <m:rPr>
            <m:sty m:val="b"/>
          </m:rPr>
          <m:t>μ</m:t>
        </m:r>
        <m:sSup>
          <m:e>
            <m:r>
              <m:rPr>
                <m:sty m:val="b"/>
              </m:rPr>
              <m:t>μ</m:t>
            </m:r>
          </m:e>
          <m:sup>
            <m:r>
              <m:t>T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rPr>
                      <m:sty m:val="b"/>
                    </m:rPr>
                    <m:t>W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b"/>
                </m:rPr>
                <m:t>W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rPr>
              <m:sty m:val="p"/>
            </m:rPr>
            <m:t>Cov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β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+</m:t>
          </m:r>
          <m:sSup>
            <m:e>
              <m:r>
                <m:rPr>
                  <m:sty m:val="b"/>
                </m:rPr>
                <m:t>μ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Término de varianza.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t xml:space="preserve"> </w:t>
      </w:r>
      <w:r>
        <w:t xml:space="preserve">es simétrica y semidefinida positiva, luego existe una matriz ortogonal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con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r>
          <m:rPr>
            <m:sty m:val="p"/>
          </m:rPr>
          <m:t>=</m:t>
        </m:r>
        <m:r>
          <m:t>Γ</m:t>
        </m:r>
        <m:r>
          <m:t>L</m:t>
        </m:r>
        <m:sSup>
          <m:e>
            <m:r>
              <m:t>Γ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p</m:t>
                </m:r>
              </m:sub>
            </m:sSub>
          </m:e>
        </m:d>
      </m:oMath>
      <w:r>
        <w:t xml:space="preserve">. Entonces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  <m:r>
                  <m:rPr>
                    <m:sty m:val="p"/>
                  </m:rPr>
                  <m:t>+</m:t>
                </m:r>
                <m:r>
                  <m:t>λ</m:t>
                </m:r>
                <m:r>
                  <m:t>I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Γ</m:t>
            </m:r>
          </m:e>
          <m:sup>
            <m:r>
              <m:t>T</m:t>
            </m:r>
          </m:sup>
        </m:sSup>
      </m:oMath>
      <w:r>
        <w:t xml:space="preserve">. Con la propiedad 2 y la invariancia de la traza bajo permutaciones cíclicas: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Cov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β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tr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λ</m:t>
                      </m:r>
                      <m:r>
                        <m:t>I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L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λ</m:t>
                      </m:r>
                      <m:r>
                        <m:t>I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λ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Término de sesgo al cuadrado.</w:t>
      </w:r>
      <w:r>
        <w:t xml:space="preserve"> </w:t>
      </w:r>
      <w:r>
        <w:t xml:space="preserve">Por la propiedad 3 y la simetría de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μ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μ</m:t>
          </m:r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"/>
                    </m:rPr>
                    <m:t>β</m:t>
                  </m:r>
                </m:e>
              </m:d>
            </m:e>
            <m:sup>
              <m:r>
                <m:t>T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β</m:t>
              </m:r>
            </m:e>
          </m:d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b"/>
                </m:rPr>
                <m:t>β</m:t>
              </m:r>
            </m:e>
            <m:sup>
              <m:r>
                <m:t>T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b"/>
            </m:rPr>
            <m:t>β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Sumando ambos términos se obtiene la propiedad 4: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b"/>
                                </m:rP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b"/>
                        </m:rPr>
                        <m:t>β</m:t>
                      </m:r>
                    </m:e>
                  </m:d>
                </m:e>
                <m:sup>
                  <m:r>
                    <m:t>T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"/>
                            </m:rPr>
                            <m:t>β</m:t>
                          </m:r>
                        </m:e>
                      </m:acc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"/>
                    </m:rPr>
                    <m:t>β</m:t>
                  </m:r>
                </m:e>
              </m:d>
            </m:e>
          </m:d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λ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+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b"/>
                </m:rPr>
                <m:t>β</m:t>
              </m:r>
            </m:e>
            <m:sup>
              <m:r>
                <m:t>T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b"/>
            </m:rPr>
            <m:t>β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◼</m:t>
          </m:r>
        </m:oMath>
      </m:oMathPara>
    </w:p>
    <w:bookmarkEnd w:id="24"/>
    <w:bookmarkStart w:id="25" w:name="comentario"/>
    <w:p>
      <w:pPr>
        <w:pStyle w:val="Heading1"/>
      </w:pPr>
      <w:r>
        <w:t xml:space="preserve">Comentario</w:t>
      </w:r>
    </w:p>
    <w:p>
      <w:pPr>
        <w:pStyle w:val="FirstParagraph"/>
      </w:pPr>
      <w:r>
        <w:t xml:space="preserve">La varianza decrece con</w:t>
      </w:r>
      <w:r>
        <w:t xml:space="preserve"> </w:t>
      </w:r>
      <m:oMath>
        <m:r>
          <m:t>λ</m:t>
        </m:r>
      </m:oMath>
      <w:r>
        <w:t xml:space="preserve">, porque cada sumando</w:t>
      </w:r>
      <w:r>
        <w:t xml:space="preserve"> </w:t>
      </w:r>
      <m:oMath>
        <m:sSub>
          <m:e>
            <m:r>
              <m:t>l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l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λ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disminuye; el sesgo al cuadrado crece con</w:t>
      </w:r>
      <w:r>
        <w:t xml:space="preserve"> </w:t>
      </w:r>
      <m:oMath>
        <m:r>
          <m:t>λ</m:t>
        </m:r>
      </m:oMath>
      <w:r>
        <w:t xml:space="preserve">. De ahí el compromiso sesgo-varianza. Si algún</w:t>
      </w:r>
      <w:r>
        <w:t xml:space="preserve"> </w:t>
      </w:r>
      <m:oMath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es muy pequeño (multicolinealidad), el término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de mínimos cuadrados explota, mientras que ridge lo mantiene acotado.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Propiedades del estimador ridge (3.12)</dc:title>
  <dc:creator/>
  <dc:language>es</dc:language>
  <cp:keywords/>
  <dcterms:created xsi:type="dcterms:W3CDTF">2026-10-08T23:42:58Z</dcterms:created>
  <dcterms:modified xsi:type="dcterms:W3CDTF">2026-10-08T23:42:58Z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Solución al ejercicio de la sección 3.4.2 (Regresión ridge)</vt:lpwstr>
  </property>
</Properties>
</file>