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D2836D" w14:textId="77777777" w:rsidR="0053630F" w:rsidRDefault="00000000">
      <w:pPr>
        <w:spacing w:after="120"/>
        <w:jc w:val="center"/>
      </w:pPr>
      <w:r>
        <w:rPr>
          <w:b/>
          <w:bCs/>
          <w:color w:val="1F4E5F"/>
          <w:sz w:val="44"/>
          <w:szCs w:val="44"/>
        </w:rPr>
        <w:t>Informe Ejecutivo</w:t>
      </w:r>
    </w:p>
    <w:p w14:paraId="4008D918" w14:textId="77777777" w:rsidR="0053630F" w:rsidRDefault="00000000">
      <w:pPr>
        <w:spacing w:after="200"/>
        <w:jc w:val="center"/>
      </w:pPr>
      <w:r>
        <w:rPr>
          <w:b/>
          <w:bCs/>
          <w:color w:val="404040"/>
          <w:sz w:val="28"/>
          <w:szCs w:val="28"/>
        </w:rPr>
        <w:t>Criterios de focalización de supervisión en contratos de Bienes y Suministros, SECOP II (2019-2025)</w:t>
      </w:r>
    </w:p>
    <w:p w14:paraId="2E7D4829" w14:textId="77777777" w:rsidR="0053630F" w:rsidRDefault="00000000">
      <w:pPr>
        <w:spacing w:after="60"/>
        <w:jc w:val="center"/>
      </w:pPr>
      <w:r>
        <w:rPr>
          <w:color w:val="595959"/>
          <w:sz w:val="20"/>
          <w:szCs w:val="20"/>
        </w:rPr>
        <w:t>Taller 1, Ciencia de Datos Aplicada (MINE-4101), Universidad de los Andes</w:t>
      </w:r>
    </w:p>
    <w:p w14:paraId="17460997" w14:textId="77777777" w:rsidR="0053630F" w:rsidRDefault="00000000">
      <w:pPr>
        <w:spacing w:after="500"/>
        <w:jc w:val="center"/>
      </w:pPr>
      <w:r>
        <w:rPr>
          <w:color w:val="595959"/>
          <w:sz w:val="20"/>
          <w:szCs w:val="20"/>
        </w:rPr>
        <w:t>Integrantes: Lina Marcela Muñoz, Yair Andrade</w:t>
      </w:r>
    </w:p>
    <w:p w14:paraId="74EA9E46" w14:textId="77777777" w:rsidR="0053630F" w:rsidRDefault="00000000">
      <w:pPr>
        <w:pStyle w:val="Ttulo1"/>
        <w:spacing w:before="300" w:after="150"/>
      </w:pPr>
      <w:r>
        <w:t>1. Contexto y objetivo</w:t>
      </w:r>
    </w:p>
    <w:p w14:paraId="67C6DB03" w14:textId="77777777" w:rsidR="0053630F" w:rsidRDefault="00000000">
      <w:pPr>
        <w:jc w:val="both"/>
      </w:pPr>
      <w:r>
        <w:rPr>
          <w:sz w:val="22"/>
          <w:szCs w:val="22"/>
        </w:rPr>
        <w:t>Este documento resume los resultados del análisis realizado sobre 196.391 contratos de bienes y suministros registrados en SECOP II entre 2019 y 2025. El objetivo es proponer criterios de focalización de supervisión basados en evidencia estadística, evaluando cuatro factores disponibles en los datos: la modalidad de contratación, el valor del contrato, el destino del gasto, y el sector.</w:t>
      </w:r>
    </w:p>
    <w:p w14:paraId="52CCFE65" w14:textId="77777777" w:rsidR="0053630F" w:rsidRDefault="00000000">
      <w:pPr>
        <w:jc w:val="both"/>
      </w:pPr>
      <w:r>
        <w:rPr>
          <w:sz w:val="22"/>
          <w:szCs w:val="22"/>
        </w:rPr>
        <w:t>El análisis parte de tres señales de desviación identificadas durante el entendimiento inicial de los datos: la adición de plazo sobre el contrato original, el cierre de contratos sin haber ejecutado presupuesto, y el cierre de contratos sin liquidación. Sobre estas tres señales se evaluó cuáles de los cuatro factores permiten explicar y anticipar el riesgo, y con qué fuerza.</w:t>
      </w:r>
    </w:p>
    <w:p w14:paraId="1D484FA5" w14:textId="77777777" w:rsidR="0053630F" w:rsidRDefault="00000000">
      <w:pPr>
        <w:pStyle w:val="Ttulo1"/>
        <w:spacing w:before="300" w:after="150"/>
      </w:pPr>
      <w:r>
        <w:t>2. Hallazgos generales</w:t>
      </w:r>
    </w:p>
    <w:p w14:paraId="7A243671" w14:textId="77777777" w:rsidR="0053630F" w:rsidRDefault="00000000">
      <w:pPr>
        <w:jc w:val="both"/>
      </w:pPr>
      <w:r>
        <w:rPr>
          <w:sz w:val="22"/>
          <w:szCs w:val="22"/>
        </w:rPr>
        <w:t>La siguiente tabla resume la magnitud de cada una de las tres señales de desviación sobre el total de contratos analizados.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500"/>
        <w:gridCol w:w="5000"/>
      </w:tblGrid>
      <w:tr w:rsidR="0053630F" w14:paraId="4875298A" w14:textId="77777777">
        <w:tblPrEx>
          <w:tblCellMar>
            <w:top w:w="0" w:type="dxa"/>
            <w:bottom w:w="0" w:type="dxa"/>
          </w:tblCellMar>
        </w:tblPrEx>
        <w:trPr>
          <w:cantSplit/>
          <w:tblHeader/>
        </w:trPr>
        <w:tc>
          <w:tcPr>
            <w:tcW w:w="25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5A499485" w14:textId="77777777" w:rsidR="0053630F" w:rsidRDefault="00000000">
            <w:r>
              <w:rPr>
                <w:b/>
                <w:bCs/>
                <w:color w:val="FFFFFF"/>
                <w:sz w:val="18"/>
                <w:szCs w:val="18"/>
              </w:rPr>
              <w:t>Señal de desviación</w:t>
            </w:r>
          </w:p>
        </w:tc>
        <w:tc>
          <w:tcPr>
            <w:tcW w:w="15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53D39BBD" w14:textId="77777777" w:rsidR="0053630F" w:rsidRDefault="00000000">
            <w:r>
              <w:rPr>
                <w:b/>
                <w:bCs/>
                <w:color w:val="FFFFFF"/>
                <w:sz w:val="18"/>
                <w:szCs w:val="18"/>
              </w:rPr>
              <w:t>Porcentaje</w:t>
            </w:r>
          </w:p>
        </w:tc>
        <w:tc>
          <w:tcPr>
            <w:tcW w:w="50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780A914D" w14:textId="77777777" w:rsidR="0053630F" w:rsidRDefault="00000000">
            <w:r>
              <w:rPr>
                <w:b/>
                <w:bCs/>
                <w:color w:val="FFFFFF"/>
                <w:sz w:val="18"/>
                <w:szCs w:val="18"/>
              </w:rPr>
              <w:t>Definición</w:t>
            </w:r>
          </w:p>
        </w:tc>
      </w:tr>
      <w:tr w:rsidR="0053630F" w14:paraId="724CA87B" w14:textId="77777777">
        <w:tblPrEx>
          <w:tblCellMar>
            <w:top w:w="0" w:type="dxa"/>
            <w:bottom w:w="0" w:type="dxa"/>
          </w:tblCellMar>
        </w:tblPrEx>
        <w:trPr>
          <w:cantSplit/>
        </w:trPr>
        <w:tc>
          <w:tcPr>
            <w:tcW w:w="2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51C762A2" w14:textId="77777777" w:rsidR="0053630F" w:rsidRDefault="00000000">
            <w:r>
              <w:rPr>
                <w:sz w:val="18"/>
                <w:szCs w:val="18"/>
              </w:rPr>
              <w:t>Adición de plazo</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91FAFF9" w14:textId="77777777" w:rsidR="0053630F" w:rsidRDefault="00000000">
            <w:r>
              <w:rPr>
                <w:sz w:val="18"/>
                <w:szCs w:val="18"/>
              </w:rPr>
              <w:t>9.51%</w:t>
            </w:r>
          </w:p>
        </w:tc>
        <w:tc>
          <w:tcPr>
            <w:tcW w:w="5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7FAEDC76" w14:textId="77777777" w:rsidR="0053630F" w:rsidRDefault="00000000">
            <w:r>
              <w:rPr>
                <w:sz w:val="18"/>
                <w:szCs w:val="18"/>
              </w:rPr>
              <w:t>Contratos con días adicionados mayores a cero sobre el plazo original.</w:t>
            </w:r>
          </w:p>
        </w:tc>
      </w:tr>
      <w:tr w:rsidR="0053630F" w14:paraId="75D8DEBD" w14:textId="77777777">
        <w:tblPrEx>
          <w:tblCellMar>
            <w:top w:w="0" w:type="dxa"/>
            <w:bottom w:w="0" w:type="dxa"/>
          </w:tblCellMar>
        </w:tblPrEx>
        <w:trPr>
          <w:cantSplit/>
        </w:trPr>
        <w:tc>
          <w:tcPr>
            <w:tcW w:w="25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01E85C37" w14:textId="77777777" w:rsidR="0053630F" w:rsidRDefault="00000000">
            <w:r>
              <w:rPr>
                <w:sz w:val="18"/>
                <w:szCs w:val="18"/>
              </w:rPr>
              <w:t>Presupuesto no ejecutado</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4A266240" w14:textId="77777777" w:rsidR="0053630F" w:rsidRDefault="00000000">
            <w:r>
              <w:rPr>
                <w:sz w:val="18"/>
                <w:szCs w:val="18"/>
              </w:rPr>
              <w:t>21.79%</w:t>
            </w:r>
          </w:p>
        </w:tc>
        <w:tc>
          <w:tcPr>
            <w:tcW w:w="50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3D941AE7" w14:textId="77777777" w:rsidR="0053630F" w:rsidRDefault="00000000">
            <w:r>
              <w:rPr>
                <w:sz w:val="18"/>
                <w:szCs w:val="18"/>
              </w:rPr>
              <w:t>Contratos cerrados o terminados con valor pagado igual a cero.</w:t>
            </w:r>
          </w:p>
        </w:tc>
      </w:tr>
      <w:tr w:rsidR="0053630F" w14:paraId="05A2F2BC" w14:textId="77777777">
        <w:tblPrEx>
          <w:tblCellMar>
            <w:top w:w="0" w:type="dxa"/>
            <w:bottom w:w="0" w:type="dxa"/>
          </w:tblCellMar>
        </w:tblPrEx>
        <w:trPr>
          <w:cantSplit/>
        </w:trPr>
        <w:tc>
          <w:tcPr>
            <w:tcW w:w="2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1BE5FC29" w14:textId="77777777" w:rsidR="0053630F" w:rsidRDefault="00000000">
            <w:r>
              <w:rPr>
                <w:sz w:val="18"/>
                <w:szCs w:val="18"/>
              </w:rPr>
              <w:t>Cierre sin liquidar</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1078257" w14:textId="77777777" w:rsidR="0053630F" w:rsidRDefault="00000000">
            <w:r>
              <w:rPr>
                <w:sz w:val="18"/>
                <w:szCs w:val="18"/>
              </w:rPr>
              <w:t>55.31%</w:t>
            </w:r>
          </w:p>
        </w:tc>
        <w:tc>
          <w:tcPr>
            <w:tcW w:w="50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78202E73" w14:textId="77777777" w:rsidR="0053630F" w:rsidRDefault="00000000">
            <w:r>
              <w:rPr>
                <w:sz w:val="18"/>
                <w:szCs w:val="18"/>
              </w:rPr>
              <w:t>Contratos cerrados o terminados sin liquidación, sobre el subconjunto de contratos con liquidación confiable.</w:t>
            </w:r>
          </w:p>
        </w:tc>
      </w:tr>
    </w:tbl>
    <w:p w14:paraId="3D20E1E6" w14:textId="77777777" w:rsidR="00F26A04" w:rsidRDefault="00F26A04">
      <w:pPr>
        <w:jc w:val="both"/>
        <w:rPr>
          <w:sz w:val="22"/>
          <w:szCs w:val="22"/>
        </w:rPr>
      </w:pPr>
    </w:p>
    <w:p w14:paraId="4F72DCBA" w14:textId="076B5ECF" w:rsidR="0053630F" w:rsidRDefault="00000000">
      <w:pPr>
        <w:jc w:val="both"/>
      </w:pPr>
      <w:r>
        <w:rPr>
          <w:sz w:val="22"/>
          <w:szCs w:val="22"/>
        </w:rPr>
        <w:t>Adicionalmente, durante el entendimiento inicial se documentaron y trataron 9 problemas de calidad de datos (identificados como P1 a P9), corrigiéndolos de forma no destructiva mediante banderas de confiabilidad, sin eliminar registros del conjunto de datos original.</w:t>
      </w:r>
    </w:p>
    <w:p w14:paraId="048A996D" w14:textId="77777777" w:rsidR="0053630F" w:rsidRDefault="00000000">
      <w:pPr>
        <w:jc w:val="both"/>
      </w:pPr>
      <w:r>
        <w:rPr>
          <w:sz w:val="22"/>
          <w:szCs w:val="22"/>
        </w:rPr>
        <w:t xml:space="preserve">De los cuatro factores evaluados, sector resultó ser el predictor más fuerte encontrado en todo el análisis (Cramér's V de 0.2815 frente a cierre sin liquidar), seguido de modalidad de contratación (Cramér's V de 0.1748 en su mejor resultado, también frente a cierre sin liquidar), y de destino del gasto (Cramér's V de 0.1128 frente a no ejecución, impulsado en buena parte por categorías de registro indefinido). Valor del contrato, evaluado de forma </w:t>
      </w:r>
      <w:r>
        <w:rPr>
          <w:sz w:val="22"/>
          <w:szCs w:val="22"/>
        </w:rPr>
        <w:lastRenderedPageBreak/>
        <w:t xml:space="preserve">independiente sin distinguir por modalidad, resultó ser el factor más débil (correlación </w:t>
      </w:r>
      <w:proofErr w:type="spellStart"/>
      <w:r>
        <w:rPr>
          <w:sz w:val="22"/>
          <w:szCs w:val="22"/>
        </w:rPr>
        <w:t>rank</w:t>
      </w:r>
      <w:proofErr w:type="spellEnd"/>
      <w:r>
        <w:rPr>
          <w:sz w:val="22"/>
          <w:szCs w:val="22"/>
        </w:rPr>
        <w:t>-biserial de apenas -0.1554), su relación con el riesgo depende de con qué otra variable se combine.</w:t>
      </w:r>
    </w:p>
    <w:p w14:paraId="542C9382" w14:textId="77777777" w:rsidR="0053630F" w:rsidRDefault="00000000">
      <w:pPr>
        <w:pStyle w:val="Ttulo1"/>
        <w:spacing w:before="300" w:after="150"/>
      </w:pPr>
      <w:r>
        <w:t>3. Resultados de las pruebas de hipótesis</w:t>
      </w:r>
    </w:p>
    <w:p w14:paraId="4D23C2CF" w14:textId="77777777" w:rsidR="0053630F" w:rsidRDefault="00000000">
      <w:pPr>
        <w:jc w:val="both"/>
      </w:pPr>
      <w:r>
        <w:rPr>
          <w:sz w:val="22"/>
          <w:szCs w:val="22"/>
        </w:rPr>
        <w:t>Para cada señal de desviación se formuló una hipótesis nula de independencia entre el factor evaluado y la variable objetivo, y se contrastó con una prueba estadística adecuada al tipo de variable, definiendo previamente un umbral de relevancia práctica para evitar interpretar significancia estadística (fácil de obtener con casi 200.000 registros) como relevancia real.</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350"/>
        <w:gridCol w:w="1550"/>
        <w:gridCol w:w="2900"/>
      </w:tblGrid>
      <w:tr w:rsidR="0053630F" w14:paraId="0C557C37" w14:textId="77777777">
        <w:tblPrEx>
          <w:tblCellMar>
            <w:top w:w="0" w:type="dxa"/>
            <w:bottom w:w="0" w:type="dxa"/>
          </w:tblCellMar>
        </w:tblPrEx>
        <w:trPr>
          <w:cantSplit/>
          <w:tblHeader/>
        </w:trPr>
        <w:tc>
          <w:tcPr>
            <w:tcW w:w="22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6FF55E35" w14:textId="77777777" w:rsidR="0053630F" w:rsidRDefault="00000000">
            <w:r>
              <w:rPr>
                <w:b/>
                <w:bCs/>
                <w:color w:val="FFFFFF"/>
                <w:sz w:val="18"/>
                <w:szCs w:val="18"/>
              </w:rPr>
              <w:t>Prueba y factor evaluado</w:t>
            </w:r>
          </w:p>
        </w:tc>
        <w:tc>
          <w:tcPr>
            <w:tcW w:w="235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332BFD62" w14:textId="77777777" w:rsidR="0053630F" w:rsidRDefault="00000000">
            <w:r>
              <w:rPr>
                <w:b/>
                <w:bCs/>
                <w:color w:val="FFFFFF"/>
                <w:sz w:val="18"/>
                <w:szCs w:val="18"/>
              </w:rPr>
              <w:t>Prueba y resultado</w:t>
            </w:r>
          </w:p>
        </w:tc>
        <w:tc>
          <w:tcPr>
            <w:tcW w:w="155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39A46242" w14:textId="77777777" w:rsidR="0053630F" w:rsidRDefault="00000000">
            <w:r>
              <w:rPr>
                <w:b/>
                <w:bCs/>
                <w:color w:val="FFFFFF"/>
                <w:sz w:val="18"/>
                <w:szCs w:val="18"/>
              </w:rPr>
              <w:t>Tamaño del efecto</w:t>
            </w:r>
          </w:p>
        </w:tc>
        <w:tc>
          <w:tcPr>
            <w:tcW w:w="29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725A46A7" w14:textId="77777777" w:rsidR="0053630F" w:rsidRDefault="00000000">
            <w:r>
              <w:rPr>
                <w:b/>
                <w:bCs/>
                <w:color w:val="FFFFFF"/>
                <w:sz w:val="18"/>
                <w:szCs w:val="18"/>
              </w:rPr>
              <w:t>Hallazgo destacado</w:t>
            </w:r>
          </w:p>
        </w:tc>
      </w:tr>
      <w:tr w:rsidR="0053630F" w14:paraId="56A55FA7" w14:textId="77777777">
        <w:tblPrEx>
          <w:tblCellMar>
            <w:top w:w="0" w:type="dxa"/>
            <w:bottom w:w="0" w:type="dxa"/>
          </w:tblCellMar>
        </w:tblPrEx>
        <w:trPr>
          <w:cantSplit/>
        </w:trPr>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468B1416" w14:textId="11529DC9" w:rsidR="0053630F" w:rsidRDefault="00000000">
            <w:r>
              <w:rPr>
                <w:sz w:val="18"/>
                <w:szCs w:val="18"/>
              </w:rPr>
              <w:t xml:space="preserve">3.1 Modalidad </w:t>
            </w:r>
            <w:r w:rsidR="00F26A04">
              <w:rPr>
                <w:sz w:val="18"/>
                <w:szCs w:val="18"/>
              </w:rPr>
              <w:t xml:space="preserve">- </w:t>
            </w:r>
            <w:r>
              <w:rPr>
                <w:sz w:val="18"/>
                <w:szCs w:val="18"/>
              </w:rPr>
              <w:t>adici</w:t>
            </w:r>
            <w:r>
              <w:rPr>
                <w:rFonts w:ascii="Trebuchet MS" w:hAnsi="Trebuchet MS" w:cs="Trebuchet MS"/>
                <w:sz w:val="18"/>
                <w:szCs w:val="18"/>
              </w:rPr>
              <w:t>ó</w:t>
            </w:r>
            <w:r>
              <w:rPr>
                <w:sz w:val="18"/>
                <w:szCs w:val="18"/>
              </w:rPr>
              <w:t>n de plazo</w:t>
            </w:r>
          </w:p>
        </w:tc>
        <w:tc>
          <w:tcPr>
            <w:tcW w:w="235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08E5C1E" w14:textId="77777777" w:rsidR="0053630F" w:rsidRDefault="00000000">
            <w:r>
              <w:rPr>
                <w:sz w:val="18"/>
                <w:szCs w:val="18"/>
              </w:rPr>
              <w:t>Kruskal-Wallis (significativo) y Mann-Whitney U</w:t>
            </w:r>
          </w:p>
        </w:tc>
        <w:tc>
          <w:tcPr>
            <w:tcW w:w="155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5070D9B7" w14:textId="77777777" w:rsidR="0053630F" w:rsidRDefault="00000000">
            <w:r>
              <w:rPr>
                <w:sz w:val="18"/>
                <w:szCs w:val="18"/>
              </w:rPr>
              <w:t>eta² = 0.022 (global débil)</w:t>
            </w:r>
          </w:p>
        </w:tc>
        <w:tc>
          <w:tcPr>
            <w:tcW w:w="2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145D3420" w14:textId="77777777" w:rsidR="0053630F" w:rsidRDefault="00000000">
            <w:r>
              <w:rPr>
                <w:sz w:val="18"/>
                <w:szCs w:val="18"/>
              </w:rPr>
              <w:t>Licitación pública: +15.72 días frente a Mínima cuantía (supera umbral de 15 días)</w:t>
            </w:r>
          </w:p>
        </w:tc>
      </w:tr>
      <w:tr w:rsidR="0053630F" w14:paraId="7C8BC660" w14:textId="77777777">
        <w:tblPrEx>
          <w:tblCellMar>
            <w:top w:w="0" w:type="dxa"/>
            <w:bottom w:w="0" w:type="dxa"/>
          </w:tblCellMar>
        </w:tblPrEx>
        <w:trPr>
          <w:cantSplit/>
        </w:trPr>
        <w:tc>
          <w:tcPr>
            <w:tcW w:w="22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21537411" w14:textId="297BE04B" w:rsidR="0053630F" w:rsidRDefault="00000000">
            <w:r>
              <w:rPr>
                <w:sz w:val="18"/>
                <w:szCs w:val="18"/>
              </w:rPr>
              <w:t xml:space="preserve">3.2 Modalidad no </w:t>
            </w:r>
            <w:r w:rsidR="00F26A04">
              <w:rPr>
                <w:sz w:val="18"/>
                <w:szCs w:val="18"/>
              </w:rPr>
              <w:t>-</w:t>
            </w:r>
            <w:r>
              <w:rPr>
                <w:sz w:val="18"/>
                <w:szCs w:val="18"/>
              </w:rPr>
              <w:t>ejecutado</w:t>
            </w:r>
          </w:p>
        </w:tc>
        <w:tc>
          <w:tcPr>
            <w:tcW w:w="235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9988752" w14:textId="77777777" w:rsidR="0053630F" w:rsidRDefault="00000000">
            <w:r>
              <w:rPr>
                <w:sz w:val="18"/>
                <w:szCs w:val="18"/>
              </w:rPr>
              <w:t>Chi-cuadrado, chi2 = 1703.39, df = 8, p = 0.0</w:t>
            </w:r>
          </w:p>
        </w:tc>
        <w:tc>
          <w:tcPr>
            <w:tcW w:w="155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0B8C11C9" w14:textId="77777777" w:rsidR="0053630F" w:rsidRDefault="00000000">
            <w:r>
              <w:rPr>
                <w:sz w:val="18"/>
                <w:szCs w:val="18"/>
              </w:rPr>
              <w:t>Cramér's V = 0.0931 (débil)</w:t>
            </w:r>
          </w:p>
        </w:tc>
        <w:tc>
          <w:tcPr>
            <w:tcW w:w="29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792F9F4" w14:textId="77777777" w:rsidR="0053630F" w:rsidRDefault="00000000">
            <w:r>
              <w:rPr>
                <w:sz w:val="18"/>
                <w:szCs w:val="18"/>
              </w:rPr>
              <w:t>Contratación régimen especial (con ofertas): 38.64% frente a ~20% del resto (brecha de 18.5 puntos)</w:t>
            </w:r>
          </w:p>
        </w:tc>
      </w:tr>
      <w:tr w:rsidR="0053630F" w14:paraId="490CF06C" w14:textId="77777777">
        <w:tblPrEx>
          <w:tblCellMar>
            <w:top w:w="0" w:type="dxa"/>
            <w:bottom w:w="0" w:type="dxa"/>
          </w:tblCellMar>
        </w:tblPrEx>
        <w:trPr>
          <w:cantSplit/>
        </w:trPr>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19464EAF" w14:textId="10586089" w:rsidR="0053630F" w:rsidRDefault="00000000">
            <w:r>
              <w:rPr>
                <w:sz w:val="18"/>
                <w:szCs w:val="18"/>
              </w:rPr>
              <w:t xml:space="preserve">3.3 Modalidad sin </w:t>
            </w:r>
            <w:r w:rsidR="00F26A04">
              <w:rPr>
                <w:sz w:val="18"/>
                <w:szCs w:val="18"/>
              </w:rPr>
              <w:t>-</w:t>
            </w:r>
            <w:r>
              <w:rPr>
                <w:sz w:val="18"/>
                <w:szCs w:val="18"/>
              </w:rPr>
              <w:t>liquidar</w:t>
            </w:r>
          </w:p>
        </w:tc>
        <w:tc>
          <w:tcPr>
            <w:tcW w:w="235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39454227" w14:textId="77777777" w:rsidR="0053630F" w:rsidRDefault="00000000">
            <w:r>
              <w:rPr>
                <w:sz w:val="18"/>
                <w:szCs w:val="18"/>
              </w:rPr>
              <w:t>Chi-cuadrado, chi2 = 3087.58, df = 8, p = 0.0</w:t>
            </w:r>
          </w:p>
        </w:tc>
        <w:tc>
          <w:tcPr>
            <w:tcW w:w="155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31079CF3" w14:textId="77777777" w:rsidR="0053630F" w:rsidRDefault="00000000">
            <w:r>
              <w:rPr>
                <w:sz w:val="18"/>
                <w:szCs w:val="18"/>
              </w:rPr>
              <w:t>Cramér's V = 0.1748 (débil-moderado)</w:t>
            </w:r>
          </w:p>
        </w:tc>
        <w:tc>
          <w:tcPr>
            <w:tcW w:w="2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C1CD465" w14:textId="77777777" w:rsidR="0053630F" w:rsidRDefault="00000000">
            <w:r>
              <w:rPr>
                <w:sz w:val="18"/>
                <w:szCs w:val="18"/>
              </w:rPr>
              <w:t>Contratación régimen especial (con ofertas): 81.74% y Contratación régimen especial: 72.14% frente a 55.31% promedio</w:t>
            </w:r>
          </w:p>
        </w:tc>
      </w:tr>
      <w:tr w:rsidR="0053630F" w14:paraId="21572207" w14:textId="77777777">
        <w:tblPrEx>
          <w:tblCellMar>
            <w:top w:w="0" w:type="dxa"/>
            <w:bottom w:w="0" w:type="dxa"/>
          </w:tblCellMar>
        </w:tblPrEx>
        <w:trPr>
          <w:cantSplit/>
        </w:trPr>
        <w:tc>
          <w:tcPr>
            <w:tcW w:w="22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0702EE3" w14:textId="297C1F98" w:rsidR="0053630F" w:rsidRDefault="00000000">
            <w:r>
              <w:rPr>
                <w:sz w:val="18"/>
                <w:szCs w:val="18"/>
              </w:rPr>
              <w:t xml:space="preserve">3.7 Valor del contrato </w:t>
            </w:r>
            <w:r w:rsidR="00F26A04">
              <w:rPr>
                <w:sz w:val="18"/>
                <w:szCs w:val="18"/>
              </w:rPr>
              <w:t>-</w:t>
            </w:r>
            <w:r>
              <w:rPr>
                <w:sz w:val="18"/>
                <w:szCs w:val="18"/>
              </w:rPr>
              <w:t>sin liquidar</w:t>
            </w:r>
          </w:p>
        </w:tc>
        <w:tc>
          <w:tcPr>
            <w:tcW w:w="235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3AC3712A" w14:textId="77777777" w:rsidR="0053630F" w:rsidRDefault="00000000">
            <w:r>
              <w:rPr>
                <w:sz w:val="18"/>
                <w:szCs w:val="18"/>
              </w:rPr>
              <w:t>Mann-Whitney U, p = 0.0</w:t>
            </w:r>
          </w:p>
        </w:tc>
        <w:tc>
          <w:tcPr>
            <w:tcW w:w="155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6D922A9" w14:textId="77777777" w:rsidR="0053630F" w:rsidRDefault="00000000">
            <w:r>
              <w:rPr>
                <w:sz w:val="18"/>
                <w:szCs w:val="18"/>
              </w:rPr>
              <w:t>Rank-biserial = -0.1554 (débil)</w:t>
            </w:r>
          </w:p>
        </w:tc>
        <w:tc>
          <w:tcPr>
            <w:tcW w:w="29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03139566" w14:textId="77777777" w:rsidR="0053630F" w:rsidRDefault="00000000">
            <w:r>
              <w:rPr>
                <w:sz w:val="18"/>
                <w:szCs w:val="18"/>
              </w:rPr>
              <w:t>Diferencia relativa de medianas de 28.71%, justo debajo del umbral de 30%</w:t>
            </w:r>
          </w:p>
        </w:tc>
      </w:tr>
      <w:tr w:rsidR="0053630F" w14:paraId="3B9E088C" w14:textId="77777777">
        <w:tblPrEx>
          <w:tblCellMar>
            <w:top w:w="0" w:type="dxa"/>
            <w:bottom w:w="0" w:type="dxa"/>
          </w:tblCellMar>
        </w:tblPrEx>
        <w:trPr>
          <w:cantSplit/>
        </w:trPr>
        <w:tc>
          <w:tcPr>
            <w:tcW w:w="22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6C13453" w14:textId="5D6DB188" w:rsidR="0053630F" w:rsidRDefault="00000000">
            <w:r>
              <w:rPr>
                <w:sz w:val="18"/>
                <w:szCs w:val="18"/>
              </w:rPr>
              <w:t xml:space="preserve">3.8 Destino del gasto </w:t>
            </w:r>
            <w:r w:rsidR="00F26A04">
              <w:rPr>
                <w:sz w:val="18"/>
                <w:szCs w:val="18"/>
              </w:rPr>
              <w:t xml:space="preserve">- </w:t>
            </w:r>
            <w:r>
              <w:rPr>
                <w:sz w:val="18"/>
                <w:szCs w:val="18"/>
              </w:rPr>
              <w:t>no ejecutado</w:t>
            </w:r>
          </w:p>
        </w:tc>
        <w:tc>
          <w:tcPr>
            <w:tcW w:w="235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5D010D19" w14:textId="77777777" w:rsidR="0053630F" w:rsidRDefault="00000000">
            <w:r>
              <w:rPr>
                <w:sz w:val="18"/>
                <w:szCs w:val="18"/>
              </w:rPr>
              <w:t>Chi-cuadrado, chi2 = 2500.30, df = 3, p = 0.0</w:t>
            </w:r>
          </w:p>
        </w:tc>
        <w:tc>
          <w:tcPr>
            <w:tcW w:w="155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C6053B9" w14:textId="77777777" w:rsidR="0053630F" w:rsidRDefault="00000000">
            <w:r>
              <w:rPr>
                <w:sz w:val="18"/>
                <w:szCs w:val="18"/>
              </w:rPr>
              <w:t>Cramér's V = 0.1128 (débil)</w:t>
            </w:r>
          </w:p>
        </w:tc>
        <w:tc>
          <w:tcPr>
            <w:tcW w:w="29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678994D" w14:textId="77777777" w:rsidR="0053630F" w:rsidRDefault="00000000">
            <w:r>
              <w:rPr>
                <w:sz w:val="18"/>
                <w:szCs w:val="18"/>
              </w:rPr>
              <w:t>Brecha real (Funcionamiento vs Inversión) de 8.97 puntos, bajo el umbral. Registros sin definir con no ejecución más alta</w:t>
            </w:r>
          </w:p>
        </w:tc>
      </w:tr>
      <w:tr w:rsidR="0053630F" w14:paraId="629CAFBC" w14:textId="77777777">
        <w:tblPrEx>
          <w:tblCellMar>
            <w:top w:w="0" w:type="dxa"/>
            <w:bottom w:w="0" w:type="dxa"/>
          </w:tblCellMar>
        </w:tblPrEx>
        <w:trPr>
          <w:cantSplit/>
        </w:trPr>
        <w:tc>
          <w:tcPr>
            <w:tcW w:w="22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38BABA14" w14:textId="4D836A5B" w:rsidR="0053630F" w:rsidRDefault="00000000">
            <w:r>
              <w:rPr>
                <w:sz w:val="18"/>
                <w:szCs w:val="18"/>
              </w:rPr>
              <w:t xml:space="preserve">3.9 Sector </w:t>
            </w:r>
            <w:r w:rsidR="00F26A04">
              <w:rPr>
                <w:rFonts w:ascii="Arial" w:hAnsi="Arial" w:cs="Arial"/>
                <w:sz w:val="18"/>
                <w:szCs w:val="18"/>
              </w:rPr>
              <w:t>-</w:t>
            </w:r>
            <w:r>
              <w:rPr>
                <w:sz w:val="18"/>
                <w:szCs w:val="18"/>
              </w:rPr>
              <w:t xml:space="preserve"> sin liquidar</w:t>
            </w:r>
          </w:p>
        </w:tc>
        <w:tc>
          <w:tcPr>
            <w:tcW w:w="235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6E815539" w14:textId="77777777" w:rsidR="0053630F" w:rsidRDefault="00000000">
            <w:r>
              <w:rPr>
                <w:sz w:val="18"/>
                <w:szCs w:val="18"/>
              </w:rPr>
              <w:t>Chi-cuadrado, chi2 = 8008.96, df = 24, p = 0.0</w:t>
            </w:r>
          </w:p>
        </w:tc>
        <w:tc>
          <w:tcPr>
            <w:tcW w:w="155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2AF623E" w14:textId="77777777" w:rsidR="0053630F" w:rsidRDefault="00000000">
            <w:r>
              <w:rPr>
                <w:sz w:val="18"/>
                <w:szCs w:val="18"/>
              </w:rPr>
              <w:t>Cramér's V = 0.2815 (el más fuerte de todos)</w:t>
            </w:r>
          </w:p>
        </w:tc>
        <w:tc>
          <w:tcPr>
            <w:tcW w:w="29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4D58CC26" w14:textId="4594081D" w:rsidR="0053630F" w:rsidRDefault="00000000">
            <w:r>
              <w:rPr>
                <w:sz w:val="18"/>
                <w:szCs w:val="18"/>
              </w:rPr>
              <w:t>Ley de Justicia (71.35%) y Salud y Protección Social (70.67%) como focos de alto volumen</w:t>
            </w:r>
          </w:p>
        </w:tc>
      </w:tr>
    </w:tbl>
    <w:p w14:paraId="2AFC0AF1" w14:textId="77777777" w:rsidR="00F26A04" w:rsidRDefault="00F26A04">
      <w:pPr>
        <w:jc w:val="both"/>
        <w:rPr>
          <w:sz w:val="22"/>
          <w:szCs w:val="22"/>
        </w:rPr>
      </w:pPr>
    </w:p>
    <w:p w14:paraId="3D68AA9E" w14:textId="555EA566" w:rsidR="0053630F" w:rsidRDefault="00000000">
      <w:pPr>
        <w:jc w:val="both"/>
      </w:pPr>
      <w:r>
        <w:rPr>
          <w:sz w:val="22"/>
          <w:szCs w:val="22"/>
        </w:rPr>
        <w:t>En todos los casos el efecto agregado sobre toda la población va de débil a moderado, pero en cada prueba se identificó al menos un grupo puntual cuya diferencia frente al resto supera claramente el umbral de relevancia práctica definido previamente. Sector es la excepción más notable, con el efecto más fuerte de todo el análisis y dos hallazgos de alto volumen y alta tasa.</w:t>
      </w:r>
    </w:p>
    <w:p w14:paraId="73663FB8" w14:textId="77777777" w:rsidR="0053630F" w:rsidRDefault="00000000">
      <w:pPr>
        <w:pStyle w:val="Ttulo2"/>
        <w:spacing w:before="240" w:after="120"/>
      </w:pPr>
      <w:r>
        <w:lastRenderedPageBreak/>
        <w:t>3.1 Tabla resumen por modalidad</w:t>
      </w:r>
    </w:p>
    <w:p w14:paraId="34A76B42" w14:textId="77777777" w:rsidR="0053630F" w:rsidRDefault="00000000">
      <w:pPr>
        <w:jc w:val="both"/>
      </w:pPr>
      <w:r>
        <w:rPr>
          <w:sz w:val="22"/>
          <w:szCs w:val="22"/>
        </w:rPr>
        <w:t>La siguiente tabla consolida, para cada modalidad de contratación, el número de contratos, la adición de plazo promedio, y los porcentajes de no ejecución y de cierre sin liquidar.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1500"/>
        <w:gridCol w:w="1600"/>
        <w:gridCol w:w="1300"/>
        <w:gridCol w:w="1300"/>
      </w:tblGrid>
      <w:tr w:rsidR="0053630F" w14:paraId="510D7C15" w14:textId="77777777">
        <w:tblPrEx>
          <w:tblCellMar>
            <w:top w:w="0" w:type="dxa"/>
            <w:bottom w:w="0" w:type="dxa"/>
          </w:tblCellMar>
        </w:tblPrEx>
        <w:trPr>
          <w:cantSplit/>
          <w:tblHeader/>
        </w:trPr>
        <w:tc>
          <w:tcPr>
            <w:tcW w:w="33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15CA8EBB" w14:textId="77777777" w:rsidR="0053630F" w:rsidRDefault="00000000">
            <w:r>
              <w:rPr>
                <w:b/>
                <w:bCs/>
                <w:color w:val="FFFFFF"/>
                <w:sz w:val="18"/>
                <w:szCs w:val="18"/>
              </w:rPr>
              <w:t>Modalidad</w:t>
            </w:r>
          </w:p>
        </w:tc>
        <w:tc>
          <w:tcPr>
            <w:tcW w:w="15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16D267EA" w14:textId="77777777" w:rsidR="0053630F" w:rsidRDefault="00000000">
            <w:proofErr w:type="spellStart"/>
            <w:r>
              <w:rPr>
                <w:b/>
                <w:bCs/>
                <w:color w:val="FFFFFF"/>
                <w:sz w:val="18"/>
                <w:szCs w:val="18"/>
              </w:rPr>
              <w:t>N°</w:t>
            </w:r>
            <w:proofErr w:type="spellEnd"/>
            <w:r>
              <w:rPr>
                <w:b/>
                <w:bCs/>
                <w:color w:val="FFFFFF"/>
                <w:sz w:val="18"/>
                <w:szCs w:val="18"/>
              </w:rPr>
              <w:t xml:space="preserve"> contratos</w:t>
            </w:r>
          </w:p>
        </w:tc>
        <w:tc>
          <w:tcPr>
            <w:tcW w:w="16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20E93687" w14:textId="77777777" w:rsidR="0053630F" w:rsidRDefault="00000000">
            <w:r>
              <w:rPr>
                <w:b/>
                <w:bCs/>
                <w:color w:val="FFFFFF"/>
                <w:sz w:val="18"/>
                <w:szCs w:val="18"/>
              </w:rPr>
              <w:t xml:space="preserve">Adición de plazo </w:t>
            </w:r>
            <w:proofErr w:type="spellStart"/>
            <w:r>
              <w:rPr>
                <w:b/>
                <w:bCs/>
                <w:color w:val="FFFFFF"/>
                <w:sz w:val="18"/>
                <w:szCs w:val="18"/>
              </w:rPr>
              <w:t>prom</w:t>
            </w:r>
            <w:proofErr w:type="spellEnd"/>
            <w:r>
              <w:rPr>
                <w:b/>
                <w:bCs/>
                <w:color w:val="FFFFFF"/>
                <w:sz w:val="18"/>
                <w:szCs w:val="18"/>
              </w:rPr>
              <w:t>. (días)</w:t>
            </w:r>
          </w:p>
        </w:tc>
        <w:tc>
          <w:tcPr>
            <w:tcW w:w="13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2DDDAD90" w14:textId="77777777" w:rsidR="0053630F" w:rsidRDefault="00000000">
            <w:r>
              <w:rPr>
                <w:b/>
                <w:bCs/>
                <w:color w:val="FFFFFF"/>
                <w:sz w:val="18"/>
                <w:szCs w:val="18"/>
              </w:rPr>
              <w:t>% no ejecutado</w:t>
            </w:r>
          </w:p>
        </w:tc>
        <w:tc>
          <w:tcPr>
            <w:tcW w:w="13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2C5842F5" w14:textId="77777777" w:rsidR="0053630F" w:rsidRDefault="00000000">
            <w:r>
              <w:rPr>
                <w:b/>
                <w:bCs/>
                <w:color w:val="FFFFFF"/>
                <w:sz w:val="18"/>
                <w:szCs w:val="18"/>
              </w:rPr>
              <w:t>% sin liquidar</w:t>
            </w:r>
          </w:p>
        </w:tc>
      </w:tr>
      <w:tr w:rsidR="0053630F" w14:paraId="107BA2CE"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D5E0B9F" w14:textId="77777777" w:rsidR="0053630F" w:rsidRDefault="00000000">
            <w:r>
              <w:rPr>
                <w:sz w:val="18"/>
                <w:szCs w:val="18"/>
              </w:rPr>
              <w:t>Contratación Directa (con ofertas)</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BF08C01" w14:textId="77777777" w:rsidR="0053630F" w:rsidRDefault="00000000">
            <w:r>
              <w:rPr>
                <w:sz w:val="18"/>
                <w:szCs w:val="18"/>
              </w:rPr>
              <w:t>5.001</w:t>
            </w:r>
          </w:p>
        </w:tc>
        <w:tc>
          <w:tcPr>
            <w:tcW w:w="1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637F9E1" w14:textId="77777777" w:rsidR="0053630F" w:rsidRDefault="00000000">
            <w:r>
              <w:rPr>
                <w:sz w:val="18"/>
                <w:szCs w:val="18"/>
              </w:rPr>
              <w:t>5.54</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C79D56D" w14:textId="77777777" w:rsidR="0053630F" w:rsidRDefault="00000000">
            <w:r>
              <w:rPr>
                <w:sz w:val="18"/>
                <w:szCs w:val="18"/>
              </w:rPr>
              <w:t>24.42%</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58FD8246" w14:textId="77777777" w:rsidR="0053630F" w:rsidRDefault="00000000">
            <w:r>
              <w:rPr>
                <w:sz w:val="18"/>
                <w:szCs w:val="18"/>
              </w:rPr>
              <w:t>47.76%</w:t>
            </w:r>
          </w:p>
        </w:tc>
      </w:tr>
      <w:tr w:rsidR="0053630F" w14:paraId="27093C55"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2217779" w14:textId="77777777" w:rsidR="0053630F" w:rsidRDefault="00000000">
            <w:r>
              <w:rPr>
                <w:sz w:val="18"/>
                <w:szCs w:val="18"/>
              </w:rPr>
              <w:t>Contratación directa</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08F15778" w14:textId="77777777" w:rsidR="0053630F" w:rsidRDefault="00000000">
            <w:r>
              <w:rPr>
                <w:sz w:val="18"/>
                <w:szCs w:val="18"/>
              </w:rPr>
              <w:t>3.938</w:t>
            </w:r>
          </w:p>
        </w:tc>
        <w:tc>
          <w:tcPr>
            <w:tcW w:w="1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2DB54979" w14:textId="77777777" w:rsidR="0053630F" w:rsidRDefault="00000000">
            <w:r>
              <w:rPr>
                <w:sz w:val="18"/>
                <w:szCs w:val="18"/>
              </w:rPr>
              <w:t>5.35</w:t>
            </w:r>
          </w:p>
        </w:tc>
        <w:tc>
          <w:tcPr>
            <w:tcW w:w="1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ED0673F" w14:textId="77777777" w:rsidR="0053630F" w:rsidRDefault="00000000">
            <w:r>
              <w:rPr>
                <w:sz w:val="18"/>
                <w:szCs w:val="18"/>
              </w:rPr>
              <w:t>24.89%</w:t>
            </w:r>
          </w:p>
        </w:tc>
        <w:tc>
          <w:tcPr>
            <w:tcW w:w="1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3C15AFE2" w14:textId="77777777" w:rsidR="0053630F" w:rsidRDefault="00000000">
            <w:r>
              <w:rPr>
                <w:sz w:val="18"/>
                <w:szCs w:val="18"/>
              </w:rPr>
              <w:t>65.20%</w:t>
            </w:r>
          </w:p>
        </w:tc>
      </w:tr>
      <w:tr w:rsidR="0053630F" w14:paraId="314C358E"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85C4A71" w14:textId="77777777" w:rsidR="0053630F" w:rsidRDefault="00000000">
            <w:r>
              <w:rPr>
                <w:sz w:val="18"/>
                <w:szCs w:val="18"/>
              </w:rPr>
              <w:t>Contratación régimen especial</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77A0A86A" w14:textId="77777777" w:rsidR="0053630F" w:rsidRDefault="00000000">
            <w:r>
              <w:rPr>
                <w:sz w:val="18"/>
                <w:szCs w:val="18"/>
              </w:rPr>
              <w:t>19.250</w:t>
            </w:r>
          </w:p>
        </w:tc>
        <w:tc>
          <w:tcPr>
            <w:tcW w:w="1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969E2C4" w14:textId="77777777" w:rsidR="0053630F" w:rsidRDefault="00000000">
            <w:r>
              <w:rPr>
                <w:sz w:val="18"/>
                <w:szCs w:val="18"/>
              </w:rPr>
              <w:t>3.67</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1E2D6793" w14:textId="77777777" w:rsidR="0053630F" w:rsidRDefault="00000000">
            <w:r>
              <w:rPr>
                <w:sz w:val="18"/>
                <w:szCs w:val="18"/>
              </w:rPr>
              <w:t>26.93%</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4EEB3B3B" w14:textId="77777777" w:rsidR="0053630F" w:rsidRDefault="00000000">
            <w:r>
              <w:rPr>
                <w:sz w:val="18"/>
                <w:szCs w:val="18"/>
              </w:rPr>
              <w:t>72.14%</w:t>
            </w:r>
          </w:p>
        </w:tc>
      </w:tr>
      <w:tr w:rsidR="0053630F" w14:paraId="6DDE3AF2"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53AF4A5F" w14:textId="77777777" w:rsidR="0053630F" w:rsidRDefault="00000000">
            <w:r>
              <w:rPr>
                <w:sz w:val="18"/>
                <w:szCs w:val="18"/>
              </w:rPr>
              <w:t>Contratación régimen especial (con ofertas)</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06C50AC9" w14:textId="77777777" w:rsidR="0053630F" w:rsidRDefault="00000000">
            <w:r>
              <w:rPr>
                <w:sz w:val="18"/>
                <w:szCs w:val="18"/>
              </w:rPr>
              <w:t>6.154</w:t>
            </w:r>
          </w:p>
        </w:tc>
        <w:tc>
          <w:tcPr>
            <w:tcW w:w="1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503B868D" w14:textId="77777777" w:rsidR="0053630F" w:rsidRDefault="00000000">
            <w:r>
              <w:rPr>
                <w:sz w:val="18"/>
                <w:szCs w:val="18"/>
              </w:rPr>
              <w:t>14.21</w:t>
            </w:r>
          </w:p>
        </w:tc>
        <w:tc>
          <w:tcPr>
            <w:tcW w:w="1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6A5BEA5" w14:textId="77777777" w:rsidR="0053630F" w:rsidRDefault="00000000">
            <w:r>
              <w:rPr>
                <w:sz w:val="18"/>
                <w:szCs w:val="18"/>
              </w:rPr>
              <w:t>38.64%</w:t>
            </w:r>
          </w:p>
        </w:tc>
        <w:tc>
          <w:tcPr>
            <w:tcW w:w="1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6F8F773C" w14:textId="77777777" w:rsidR="0053630F" w:rsidRDefault="00000000">
            <w:r>
              <w:rPr>
                <w:sz w:val="18"/>
                <w:szCs w:val="18"/>
              </w:rPr>
              <w:t>81.74%</w:t>
            </w:r>
          </w:p>
        </w:tc>
      </w:tr>
      <w:tr w:rsidR="0053630F" w14:paraId="490E80E2"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1884363" w14:textId="77777777" w:rsidR="0053630F" w:rsidRDefault="00000000">
            <w:r>
              <w:rPr>
                <w:sz w:val="18"/>
                <w:szCs w:val="18"/>
              </w:rPr>
              <w:t>Licitación pública</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38DEEFA" w14:textId="77777777" w:rsidR="0053630F" w:rsidRDefault="00000000">
            <w:r>
              <w:rPr>
                <w:sz w:val="18"/>
                <w:szCs w:val="18"/>
              </w:rPr>
              <w:t>2.330</w:t>
            </w:r>
          </w:p>
        </w:tc>
        <w:tc>
          <w:tcPr>
            <w:tcW w:w="1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5715C7A2" w14:textId="77777777" w:rsidR="0053630F" w:rsidRDefault="00000000">
            <w:r>
              <w:rPr>
                <w:sz w:val="18"/>
                <w:szCs w:val="18"/>
              </w:rPr>
              <w:t>18.65</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79987CD9" w14:textId="77777777" w:rsidR="0053630F" w:rsidRDefault="00000000">
            <w:r>
              <w:rPr>
                <w:sz w:val="18"/>
                <w:szCs w:val="18"/>
              </w:rPr>
              <w:t>20.34%</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9FA795B" w14:textId="77777777" w:rsidR="0053630F" w:rsidRDefault="00000000">
            <w:r>
              <w:rPr>
                <w:sz w:val="18"/>
                <w:szCs w:val="18"/>
              </w:rPr>
              <w:t>43.91%</w:t>
            </w:r>
          </w:p>
        </w:tc>
      </w:tr>
      <w:tr w:rsidR="0053630F" w14:paraId="277B269A"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4C733C5C" w14:textId="77777777" w:rsidR="0053630F" w:rsidRDefault="00000000">
            <w:r>
              <w:rPr>
                <w:sz w:val="18"/>
                <w:szCs w:val="18"/>
              </w:rPr>
              <w:t>Mínima cuantía</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BDF8297" w14:textId="77777777" w:rsidR="0053630F" w:rsidRDefault="00000000">
            <w:r>
              <w:rPr>
                <w:sz w:val="18"/>
                <w:szCs w:val="18"/>
              </w:rPr>
              <w:t>117.753</w:t>
            </w:r>
          </w:p>
        </w:tc>
        <w:tc>
          <w:tcPr>
            <w:tcW w:w="1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48A1CDA5" w14:textId="77777777" w:rsidR="0053630F" w:rsidRDefault="00000000">
            <w:r>
              <w:rPr>
                <w:sz w:val="18"/>
                <w:szCs w:val="18"/>
              </w:rPr>
              <w:t>2.93</w:t>
            </w:r>
          </w:p>
        </w:tc>
        <w:tc>
          <w:tcPr>
            <w:tcW w:w="1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025B1746" w14:textId="77777777" w:rsidR="0053630F" w:rsidRDefault="00000000">
            <w:r>
              <w:rPr>
                <w:sz w:val="18"/>
                <w:szCs w:val="18"/>
              </w:rPr>
              <w:t>20.06%</w:t>
            </w:r>
          </w:p>
        </w:tc>
        <w:tc>
          <w:tcPr>
            <w:tcW w:w="1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B989438" w14:textId="77777777" w:rsidR="0053630F" w:rsidRDefault="00000000">
            <w:r>
              <w:rPr>
                <w:sz w:val="18"/>
                <w:szCs w:val="18"/>
              </w:rPr>
              <w:t>55.70%</w:t>
            </w:r>
          </w:p>
        </w:tc>
      </w:tr>
      <w:tr w:rsidR="0053630F" w14:paraId="0B0E762F"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3A84AEE6" w14:textId="77777777" w:rsidR="0053630F" w:rsidRDefault="00000000">
            <w:r>
              <w:rPr>
                <w:sz w:val="18"/>
                <w:szCs w:val="18"/>
              </w:rPr>
              <w:t>Selección Abreviada Menor Cuantía Sin Manifestación Interés</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F3675F0" w14:textId="77777777" w:rsidR="0053630F" w:rsidRDefault="00000000">
            <w:r>
              <w:rPr>
                <w:sz w:val="18"/>
                <w:szCs w:val="18"/>
              </w:rPr>
              <w:t>236</w:t>
            </w:r>
          </w:p>
        </w:tc>
        <w:tc>
          <w:tcPr>
            <w:tcW w:w="1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37573D7F" w14:textId="77777777" w:rsidR="0053630F" w:rsidRDefault="00000000">
            <w:r>
              <w:rPr>
                <w:sz w:val="18"/>
                <w:szCs w:val="18"/>
              </w:rPr>
              <w:t>17.74</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8DF0BA7" w14:textId="77777777" w:rsidR="0053630F" w:rsidRDefault="00000000">
            <w:r>
              <w:rPr>
                <w:sz w:val="18"/>
                <w:szCs w:val="18"/>
              </w:rPr>
              <w:t>24.15%</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FCEC955" w14:textId="77777777" w:rsidR="0053630F" w:rsidRDefault="00000000">
            <w:r>
              <w:rPr>
                <w:sz w:val="18"/>
                <w:szCs w:val="18"/>
              </w:rPr>
              <w:t>28.06%</w:t>
            </w:r>
          </w:p>
        </w:tc>
      </w:tr>
      <w:tr w:rsidR="0053630F" w14:paraId="45C76F93"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44D8944F" w14:textId="77777777" w:rsidR="0053630F" w:rsidRDefault="00000000">
            <w:r>
              <w:rPr>
                <w:sz w:val="18"/>
                <w:szCs w:val="18"/>
              </w:rPr>
              <w:t>Selección Abreviada de Menor Cuantía</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43BE6D1F" w14:textId="77777777" w:rsidR="0053630F" w:rsidRDefault="00000000">
            <w:r>
              <w:rPr>
                <w:sz w:val="18"/>
                <w:szCs w:val="18"/>
              </w:rPr>
              <w:t>8.822</w:t>
            </w:r>
          </w:p>
        </w:tc>
        <w:tc>
          <w:tcPr>
            <w:tcW w:w="1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B6D109B" w14:textId="77777777" w:rsidR="0053630F" w:rsidRDefault="00000000">
            <w:r>
              <w:rPr>
                <w:sz w:val="18"/>
                <w:szCs w:val="18"/>
              </w:rPr>
              <w:t>8.35</w:t>
            </w:r>
          </w:p>
        </w:tc>
        <w:tc>
          <w:tcPr>
            <w:tcW w:w="1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2222FC0D" w14:textId="77777777" w:rsidR="0053630F" w:rsidRDefault="00000000">
            <w:r>
              <w:rPr>
                <w:sz w:val="18"/>
                <w:szCs w:val="18"/>
              </w:rPr>
              <w:t>25.56%</w:t>
            </w:r>
          </w:p>
        </w:tc>
        <w:tc>
          <w:tcPr>
            <w:tcW w:w="1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332C4E5F" w14:textId="77777777" w:rsidR="0053630F" w:rsidRDefault="00000000">
            <w:r>
              <w:rPr>
                <w:sz w:val="18"/>
                <w:szCs w:val="18"/>
              </w:rPr>
              <w:t>46.15%</w:t>
            </w:r>
          </w:p>
        </w:tc>
      </w:tr>
      <w:tr w:rsidR="0053630F" w14:paraId="21DA6D92"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F1024CF" w14:textId="77777777" w:rsidR="0053630F" w:rsidRDefault="00000000">
            <w:r>
              <w:rPr>
                <w:sz w:val="18"/>
                <w:szCs w:val="18"/>
              </w:rPr>
              <w:t>Selección abreviada subasta inversa</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7960DAD5" w14:textId="77777777" w:rsidR="0053630F" w:rsidRDefault="00000000">
            <w:r>
              <w:rPr>
                <w:sz w:val="18"/>
                <w:szCs w:val="18"/>
              </w:rPr>
              <w:t>32.907</w:t>
            </w:r>
          </w:p>
        </w:tc>
        <w:tc>
          <w:tcPr>
            <w:tcW w:w="1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13B82214" w14:textId="77777777" w:rsidR="0053630F" w:rsidRDefault="00000000">
            <w:r>
              <w:rPr>
                <w:sz w:val="18"/>
                <w:szCs w:val="18"/>
              </w:rPr>
              <w:t>9.60</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1A00271E" w14:textId="77777777" w:rsidR="0053630F" w:rsidRDefault="00000000">
            <w:r>
              <w:rPr>
                <w:sz w:val="18"/>
                <w:szCs w:val="18"/>
              </w:rPr>
              <w:t>20.15%</w:t>
            </w:r>
          </w:p>
        </w:tc>
        <w:tc>
          <w:tcPr>
            <w:tcW w:w="1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12E9792D" w14:textId="77777777" w:rsidR="0053630F" w:rsidRDefault="00000000">
            <w:r>
              <w:rPr>
                <w:sz w:val="18"/>
                <w:szCs w:val="18"/>
              </w:rPr>
              <w:t>44.37%</w:t>
            </w:r>
          </w:p>
        </w:tc>
      </w:tr>
    </w:tbl>
    <w:p w14:paraId="53AA32AF" w14:textId="223C8948" w:rsidR="0053630F" w:rsidRDefault="0053630F"/>
    <w:p w14:paraId="436749B4" w14:textId="77777777" w:rsidR="0053630F" w:rsidRDefault="00000000">
      <w:pPr>
        <w:pStyle w:val="Ttulo2"/>
        <w:spacing w:before="240" w:after="120"/>
      </w:pPr>
      <w:r>
        <w:t>3.2 Sectores destacados</w:t>
      </w:r>
    </w:p>
    <w:p w14:paraId="6C8347F8" w14:textId="77777777" w:rsidR="0053630F" w:rsidRDefault="00000000">
      <w:pPr>
        <w:jc w:val="both"/>
      </w:pPr>
      <w:r>
        <w:rPr>
          <w:sz w:val="22"/>
          <w:szCs w:val="22"/>
        </w:rPr>
        <w:t>Con 25 sectores válidos, no es práctico listarlos todos en una tabla ejecutiva (la Figura 3 en la siguiente sección los muestra todos). Aquí se resaltan los casos más relevantes para la toma de decisiones, ya sea por combinar alto riesgo con alto volumen, o por representar los extremos del rango.</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1600"/>
        <w:gridCol w:w="1500"/>
        <w:gridCol w:w="2600"/>
      </w:tblGrid>
      <w:tr w:rsidR="0053630F" w14:paraId="5F77A822" w14:textId="77777777">
        <w:tblPrEx>
          <w:tblCellMar>
            <w:top w:w="0" w:type="dxa"/>
            <w:bottom w:w="0" w:type="dxa"/>
          </w:tblCellMar>
        </w:tblPrEx>
        <w:trPr>
          <w:cantSplit/>
          <w:tblHeader/>
        </w:trPr>
        <w:tc>
          <w:tcPr>
            <w:tcW w:w="33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036CDD2C" w14:textId="77777777" w:rsidR="0053630F" w:rsidRDefault="00000000">
            <w:r>
              <w:rPr>
                <w:b/>
                <w:bCs/>
                <w:color w:val="FFFFFF"/>
                <w:sz w:val="18"/>
                <w:szCs w:val="18"/>
              </w:rPr>
              <w:t>Sector</w:t>
            </w:r>
          </w:p>
        </w:tc>
        <w:tc>
          <w:tcPr>
            <w:tcW w:w="16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026DA001" w14:textId="77777777" w:rsidR="0053630F" w:rsidRDefault="00000000">
            <w:proofErr w:type="spellStart"/>
            <w:r>
              <w:rPr>
                <w:b/>
                <w:bCs/>
                <w:color w:val="FFFFFF"/>
                <w:sz w:val="18"/>
                <w:szCs w:val="18"/>
              </w:rPr>
              <w:t>N°</w:t>
            </w:r>
            <w:proofErr w:type="spellEnd"/>
            <w:r>
              <w:rPr>
                <w:b/>
                <w:bCs/>
                <w:color w:val="FFFFFF"/>
                <w:sz w:val="18"/>
                <w:szCs w:val="18"/>
              </w:rPr>
              <w:t xml:space="preserve"> contratos</w:t>
            </w:r>
          </w:p>
        </w:tc>
        <w:tc>
          <w:tcPr>
            <w:tcW w:w="15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429FF09F" w14:textId="77777777" w:rsidR="0053630F" w:rsidRDefault="00000000">
            <w:r>
              <w:rPr>
                <w:b/>
                <w:bCs/>
                <w:color w:val="FFFFFF"/>
                <w:sz w:val="18"/>
                <w:szCs w:val="18"/>
              </w:rPr>
              <w:t>% sin liquidar</w:t>
            </w:r>
          </w:p>
        </w:tc>
        <w:tc>
          <w:tcPr>
            <w:tcW w:w="26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0CDEEEB1" w14:textId="77777777" w:rsidR="0053630F" w:rsidRDefault="00000000">
            <w:r>
              <w:rPr>
                <w:b/>
                <w:bCs/>
                <w:color w:val="FFFFFF"/>
                <w:sz w:val="18"/>
                <w:szCs w:val="18"/>
              </w:rPr>
              <w:t>Observación</w:t>
            </w:r>
          </w:p>
        </w:tc>
      </w:tr>
      <w:tr w:rsidR="0053630F" w14:paraId="4BC32BC7"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C7A0429" w14:textId="77777777" w:rsidR="0053630F" w:rsidRDefault="00000000">
            <w:r>
              <w:rPr>
                <w:sz w:val="18"/>
                <w:szCs w:val="18"/>
              </w:rPr>
              <w:t>Ley de Justicia</w:t>
            </w:r>
          </w:p>
        </w:tc>
        <w:tc>
          <w:tcPr>
            <w:tcW w:w="1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3FFE4A46" w14:textId="77777777" w:rsidR="0053630F" w:rsidRDefault="00000000">
            <w:r>
              <w:rPr>
                <w:sz w:val="18"/>
                <w:szCs w:val="18"/>
              </w:rPr>
              <w:t>8.676</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19742DCF" w14:textId="77777777" w:rsidR="0053630F" w:rsidRDefault="00000000">
            <w:r>
              <w:rPr>
                <w:sz w:val="18"/>
                <w:szCs w:val="18"/>
              </w:rPr>
              <w:t>71.35%</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190E1187" w14:textId="77777777" w:rsidR="0053630F" w:rsidRDefault="00000000">
            <w:r>
              <w:rPr>
                <w:sz w:val="18"/>
                <w:szCs w:val="18"/>
              </w:rPr>
              <w:t>Foco de riesgo principal, alto volumen y alta tasa</w:t>
            </w:r>
          </w:p>
        </w:tc>
      </w:tr>
      <w:tr w:rsidR="0053630F" w14:paraId="2149B1C7"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97352ED" w14:textId="77777777" w:rsidR="0053630F" w:rsidRDefault="00000000">
            <w:r>
              <w:rPr>
                <w:sz w:val="18"/>
                <w:szCs w:val="18"/>
              </w:rPr>
              <w:t>Salud y Protección Social</w:t>
            </w:r>
          </w:p>
        </w:tc>
        <w:tc>
          <w:tcPr>
            <w:tcW w:w="1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8411B92" w14:textId="77777777" w:rsidR="0053630F" w:rsidRDefault="00000000">
            <w:r>
              <w:rPr>
                <w:sz w:val="18"/>
                <w:szCs w:val="18"/>
              </w:rPr>
              <w:t>11.097</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4CBA932" w14:textId="77777777" w:rsidR="0053630F" w:rsidRDefault="00000000">
            <w:r>
              <w:rPr>
                <w:sz w:val="18"/>
                <w:szCs w:val="18"/>
              </w:rPr>
              <w:t>70.67%</w:t>
            </w:r>
          </w:p>
        </w:tc>
        <w:tc>
          <w:tcPr>
            <w:tcW w:w="2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4426D86D" w14:textId="77777777" w:rsidR="0053630F" w:rsidRDefault="00000000">
            <w:r>
              <w:rPr>
                <w:sz w:val="18"/>
                <w:szCs w:val="18"/>
              </w:rPr>
              <w:t>Foco de riesgo principal, alto volumen y alta tasa</w:t>
            </w:r>
          </w:p>
        </w:tc>
      </w:tr>
      <w:tr w:rsidR="0053630F" w14:paraId="0AC248C9"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335F384" w14:textId="77777777" w:rsidR="0053630F" w:rsidRDefault="00000000">
            <w:r>
              <w:rPr>
                <w:sz w:val="18"/>
                <w:szCs w:val="18"/>
              </w:rPr>
              <w:t>Ciencia Tecnología</w:t>
            </w:r>
          </w:p>
        </w:tc>
        <w:tc>
          <w:tcPr>
            <w:tcW w:w="1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7CBC8B9" w14:textId="77777777" w:rsidR="0053630F" w:rsidRDefault="00000000">
            <w:r>
              <w:rPr>
                <w:sz w:val="18"/>
                <w:szCs w:val="18"/>
              </w:rPr>
              <w:t>321</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FE03CC6" w14:textId="77777777" w:rsidR="0053630F" w:rsidRDefault="00000000">
            <w:r>
              <w:rPr>
                <w:sz w:val="18"/>
                <w:szCs w:val="18"/>
              </w:rPr>
              <w:t>90.97%</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8882A0F" w14:textId="77777777" w:rsidR="0053630F" w:rsidRDefault="00000000">
            <w:r>
              <w:rPr>
                <w:sz w:val="18"/>
                <w:szCs w:val="18"/>
              </w:rPr>
              <w:t>Tasa más alta, pero muestra pequeña, tratar con cautela</w:t>
            </w:r>
          </w:p>
        </w:tc>
      </w:tr>
      <w:tr w:rsidR="0053630F" w14:paraId="09F9227F"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5A6EF77F" w14:textId="77777777" w:rsidR="0053630F" w:rsidRDefault="00000000">
            <w:r>
              <w:rPr>
                <w:sz w:val="18"/>
                <w:szCs w:val="18"/>
              </w:rPr>
              <w:t>Servicio Público</w:t>
            </w:r>
          </w:p>
        </w:tc>
        <w:tc>
          <w:tcPr>
            <w:tcW w:w="1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6E19B0FB" w14:textId="77777777" w:rsidR="0053630F" w:rsidRDefault="00000000">
            <w:r>
              <w:rPr>
                <w:sz w:val="18"/>
                <w:szCs w:val="18"/>
              </w:rPr>
              <w:t>17.594</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6AA771F6" w14:textId="77777777" w:rsidR="0053630F" w:rsidRDefault="00000000">
            <w:r>
              <w:rPr>
                <w:sz w:val="18"/>
                <w:szCs w:val="18"/>
              </w:rPr>
              <w:t>54.30%</w:t>
            </w:r>
          </w:p>
        </w:tc>
        <w:tc>
          <w:tcPr>
            <w:tcW w:w="2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34CBD00C" w14:textId="77777777" w:rsidR="0053630F" w:rsidRDefault="00000000">
            <w:r>
              <w:rPr>
                <w:sz w:val="18"/>
                <w:szCs w:val="18"/>
              </w:rPr>
              <w:t xml:space="preserve">Mayor volumen del </w:t>
            </w:r>
            <w:proofErr w:type="spellStart"/>
            <w:r>
              <w:rPr>
                <w:sz w:val="18"/>
                <w:szCs w:val="18"/>
              </w:rPr>
              <w:t>dataset</w:t>
            </w:r>
            <w:proofErr w:type="spellEnd"/>
            <w:r>
              <w:rPr>
                <w:sz w:val="18"/>
                <w:szCs w:val="18"/>
              </w:rPr>
              <w:t>, riesgo cercano al promedio</w:t>
            </w:r>
          </w:p>
        </w:tc>
      </w:tr>
      <w:tr w:rsidR="0053630F" w14:paraId="057BD9D4"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35AD1636" w14:textId="77777777" w:rsidR="0053630F" w:rsidRDefault="00000000">
            <w:r>
              <w:rPr>
                <w:sz w:val="18"/>
                <w:szCs w:val="18"/>
              </w:rPr>
              <w:lastRenderedPageBreak/>
              <w:t>defensa</w:t>
            </w:r>
          </w:p>
        </w:tc>
        <w:tc>
          <w:tcPr>
            <w:tcW w:w="1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4C39F8AC" w14:textId="77777777" w:rsidR="0053630F" w:rsidRDefault="00000000">
            <w:r>
              <w:rPr>
                <w:sz w:val="18"/>
                <w:szCs w:val="18"/>
              </w:rPr>
              <w:t>23.539</w:t>
            </w:r>
          </w:p>
        </w:tc>
        <w:tc>
          <w:tcPr>
            <w:tcW w:w="15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705BD44" w14:textId="77777777" w:rsidR="0053630F" w:rsidRDefault="00000000">
            <w:r>
              <w:rPr>
                <w:sz w:val="18"/>
                <w:szCs w:val="18"/>
              </w:rPr>
              <w:t>33.10%</w:t>
            </w:r>
          </w:p>
        </w:tc>
        <w:tc>
          <w:tcPr>
            <w:tcW w:w="2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23AD149" w14:textId="77777777" w:rsidR="0053630F" w:rsidRDefault="00000000">
            <w:r>
              <w:rPr>
                <w:sz w:val="18"/>
                <w:szCs w:val="18"/>
              </w:rPr>
              <w:t>Segundo mayor volumen, riesgo bajo</w:t>
            </w:r>
          </w:p>
        </w:tc>
      </w:tr>
      <w:tr w:rsidR="0053630F" w14:paraId="4E1AE808" w14:textId="77777777">
        <w:tblPrEx>
          <w:tblCellMar>
            <w:top w:w="0" w:type="dxa"/>
            <w:bottom w:w="0" w:type="dxa"/>
          </w:tblCellMar>
        </w:tblPrEx>
        <w:trPr>
          <w:cantSplit/>
        </w:trPr>
        <w:tc>
          <w:tcPr>
            <w:tcW w:w="33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B605A9A" w14:textId="77777777" w:rsidR="0053630F" w:rsidRDefault="00000000">
            <w:r>
              <w:rPr>
                <w:sz w:val="18"/>
                <w:szCs w:val="18"/>
              </w:rPr>
              <w:t>Inteligencia Estratégica y Contrainteligencia</w:t>
            </w:r>
          </w:p>
        </w:tc>
        <w:tc>
          <w:tcPr>
            <w:tcW w:w="1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3A80B5D0" w14:textId="77777777" w:rsidR="0053630F" w:rsidRDefault="00000000">
            <w:r>
              <w:rPr>
                <w:sz w:val="18"/>
                <w:szCs w:val="18"/>
              </w:rPr>
              <w:t>31</w:t>
            </w:r>
          </w:p>
        </w:tc>
        <w:tc>
          <w:tcPr>
            <w:tcW w:w="15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6CBCDBE" w14:textId="77777777" w:rsidR="0053630F" w:rsidRDefault="00000000">
            <w:r>
              <w:rPr>
                <w:sz w:val="18"/>
                <w:szCs w:val="18"/>
              </w:rPr>
              <w:t>25.81%</w:t>
            </w:r>
          </w:p>
        </w:tc>
        <w:tc>
          <w:tcPr>
            <w:tcW w:w="2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03A0E26B" w14:textId="77777777" w:rsidR="0053630F" w:rsidRDefault="00000000">
            <w:r>
              <w:rPr>
                <w:sz w:val="18"/>
                <w:szCs w:val="18"/>
              </w:rPr>
              <w:t>Riesgo más bajo, muestra muy pequeña</w:t>
            </w:r>
          </w:p>
        </w:tc>
      </w:tr>
    </w:tbl>
    <w:p w14:paraId="7944477B" w14:textId="77777777" w:rsidR="0053630F" w:rsidRDefault="00000000">
      <w:pPr>
        <w:pStyle w:val="Ttulo1"/>
        <w:spacing w:before="300" w:after="150"/>
      </w:pPr>
      <w:r>
        <w:t>4. Visualizaciones</w:t>
      </w:r>
    </w:p>
    <w:p w14:paraId="4B772BF3" w14:textId="77777777" w:rsidR="0053630F" w:rsidRDefault="00000000">
      <w:pPr>
        <w:pStyle w:val="Ttulo2"/>
        <w:spacing w:before="240" w:after="120"/>
      </w:pPr>
      <w:r>
        <w:t>4.1 Riesgo por modalidad: no ejecución, sin liquidar y adición de plazo</w:t>
      </w:r>
    </w:p>
    <w:p w14:paraId="35DDE344" w14:textId="77777777" w:rsidR="0053630F" w:rsidRDefault="00000000">
      <w:pPr>
        <w:jc w:val="both"/>
      </w:pPr>
      <w:r>
        <w:rPr>
          <w:sz w:val="22"/>
          <w:szCs w:val="22"/>
        </w:rPr>
        <w:t>Esta visualización combina las tres señales de desviación en un solo gráfico. Cada punto es una modalidad de contratación, el eje X es el porcentaje de contratos no ejecutados, el eje Y es el porcentaje de contratos sin liquidar, el tamaño de la burbuja representa el número de contratos, y el color representa la adición de plazo promedio en días. Las líneas punteadas marcan el promedio general de cada señal.</w:t>
      </w:r>
    </w:p>
    <w:p w14:paraId="1C648750" w14:textId="77777777" w:rsidR="0053630F" w:rsidRDefault="00000000">
      <w:pPr>
        <w:jc w:val="center"/>
      </w:pPr>
      <w:r>
        <w:rPr>
          <w:noProof/>
        </w:rPr>
        <w:drawing>
          <wp:inline distT="0" distB="0" distL="0" distR="0" wp14:anchorId="0D8933D0" wp14:editId="600A6B79">
            <wp:extent cx="5334000" cy="39719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334000" cy="3971925"/>
                    </a:xfrm>
                    <a:prstGeom prst="rect">
                      <a:avLst/>
                    </a:prstGeom>
                  </pic:spPr>
                </pic:pic>
              </a:graphicData>
            </a:graphic>
          </wp:inline>
        </w:drawing>
      </w:r>
    </w:p>
    <w:p w14:paraId="57A7D935" w14:textId="77777777" w:rsidR="0053630F" w:rsidRDefault="00000000">
      <w:pPr>
        <w:spacing w:after="260"/>
        <w:jc w:val="center"/>
      </w:pPr>
      <w:r>
        <w:rPr>
          <w:i/>
          <w:iCs/>
          <w:color w:val="595959"/>
          <w:sz w:val="18"/>
          <w:szCs w:val="18"/>
        </w:rPr>
        <w:t>Figura 1. Riesgo por modalidad de contratación: no ejecución, sin liquidar y adición de plazo.</w:t>
      </w:r>
    </w:p>
    <w:p w14:paraId="5D44BB97" w14:textId="46716F08" w:rsidR="0053630F" w:rsidRDefault="00000000">
      <w:pPr>
        <w:jc w:val="both"/>
      </w:pPr>
      <w:r>
        <w:rPr>
          <w:sz w:val="22"/>
          <w:szCs w:val="22"/>
        </w:rPr>
        <w:t xml:space="preserve">Contratación régimen especial (con ofertas) queda claramente aislada en la esquina superior derecha, con los porcentajes más altos de no ejecución y de sin liquidar. Licitación pública, en cambio, se ubica por debajo del promedio en ambos </w:t>
      </w:r>
      <w:r w:rsidR="00F26A04">
        <w:rPr>
          <w:sz w:val="22"/>
          <w:szCs w:val="22"/>
        </w:rPr>
        <w:t>ejes,</w:t>
      </w:r>
      <w:r>
        <w:rPr>
          <w:sz w:val="22"/>
          <w:szCs w:val="22"/>
        </w:rPr>
        <w:t xml:space="preserve"> pero tiene la adición de plazo promedio más alta, lo que confirma que su riesgo es específico a los plazos y no se traslada </w:t>
      </w:r>
      <w:r>
        <w:rPr>
          <w:sz w:val="22"/>
          <w:szCs w:val="22"/>
        </w:rPr>
        <w:lastRenderedPageBreak/>
        <w:t>a las otras dos señales. Mínima cuantía se ubica prácticamente sobre ambas líneas de referencia, coherente con que esta modalidad concentra el 60% del volumen total y define en buena parte el promedio general.</w:t>
      </w:r>
    </w:p>
    <w:p w14:paraId="30DD7AEE" w14:textId="77777777" w:rsidR="0053630F" w:rsidRDefault="00000000">
      <w:pPr>
        <w:pStyle w:val="Ttulo2"/>
        <w:spacing w:before="240" w:after="120"/>
      </w:pPr>
      <w:r>
        <w:t>4.2 Valor del contrato según modalidad y estado de liquidación</w:t>
      </w:r>
    </w:p>
    <w:p w14:paraId="3BC1C597" w14:textId="77777777" w:rsidR="0053630F" w:rsidRDefault="00000000">
      <w:pPr>
        <w:jc w:val="both"/>
      </w:pPr>
      <w:r>
        <w:rPr>
          <w:sz w:val="22"/>
          <w:szCs w:val="22"/>
        </w:rPr>
        <w:t>Este gráfico compara la distribución del valor del contrato (escala logarítmica) por modalidad, separando entre contratos liquidados y sin liquidar, para evaluar si el riesgo de no liquidación se concentra en los contratos de mayor o menor valor dentro de cada modalidad.</w:t>
      </w:r>
    </w:p>
    <w:p w14:paraId="13C6167D" w14:textId="77777777" w:rsidR="0053630F" w:rsidRDefault="00000000">
      <w:pPr>
        <w:jc w:val="center"/>
      </w:pPr>
      <w:r>
        <w:rPr>
          <w:noProof/>
        </w:rPr>
        <w:drawing>
          <wp:inline distT="0" distB="0" distL="0" distR="0" wp14:anchorId="73BDB338" wp14:editId="0AC9ECC8">
            <wp:extent cx="5334000" cy="2857500"/>
            <wp:effectExtent l="0" t="0" r="0" b="0"/>
            <wp:docPr id="1104069223" name="Imagen 1104069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334000" cy="2857500"/>
                    </a:xfrm>
                    <a:prstGeom prst="rect">
                      <a:avLst/>
                    </a:prstGeom>
                  </pic:spPr>
                </pic:pic>
              </a:graphicData>
            </a:graphic>
          </wp:inline>
        </w:drawing>
      </w:r>
    </w:p>
    <w:p w14:paraId="31596AB7" w14:textId="77777777" w:rsidR="0053630F" w:rsidRDefault="00000000">
      <w:pPr>
        <w:spacing w:after="260"/>
        <w:jc w:val="center"/>
      </w:pPr>
      <w:r>
        <w:rPr>
          <w:i/>
          <w:iCs/>
          <w:color w:val="595959"/>
          <w:sz w:val="18"/>
          <w:szCs w:val="18"/>
        </w:rPr>
        <w:t>Figura 2. Distribución del valor del contrato por modalidad, según estado de liquidación.</w:t>
      </w:r>
    </w:p>
    <w:p w14:paraId="4E5FB5E3" w14:textId="77777777" w:rsidR="0053630F" w:rsidRDefault="00000000">
      <w:pPr>
        <w:jc w:val="both"/>
      </w:pPr>
      <w:r>
        <w:rPr>
          <w:sz w:val="22"/>
          <w:szCs w:val="22"/>
        </w:rPr>
        <w:t>La siguiente tabla muestra la mediana del valor del contrato para cada modalidad, separada entre contratos liquidados y sin liquidar.</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2700"/>
        <w:gridCol w:w="2700"/>
      </w:tblGrid>
      <w:tr w:rsidR="0053630F" w14:paraId="2AD0E2DF" w14:textId="77777777">
        <w:tblPrEx>
          <w:tblCellMar>
            <w:top w:w="0" w:type="dxa"/>
            <w:bottom w:w="0" w:type="dxa"/>
          </w:tblCellMar>
        </w:tblPrEx>
        <w:trPr>
          <w:cantSplit/>
          <w:tblHeader/>
        </w:trPr>
        <w:tc>
          <w:tcPr>
            <w:tcW w:w="36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48D1A346" w14:textId="77777777" w:rsidR="0053630F" w:rsidRDefault="00000000">
            <w:r>
              <w:rPr>
                <w:b/>
                <w:bCs/>
                <w:color w:val="FFFFFF"/>
                <w:sz w:val="18"/>
                <w:szCs w:val="18"/>
              </w:rPr>
              <w:t>Modalidad</w:t>
            </w:r>
          </w:p>
        </w:tc>
        <w:tc>
          <w:tcPr>
            <w:tcW w:w="27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2D719E28" w14:textId="77777777" w:rsidR="0053630F" w:rsidRDefault="00000000">
            <w:r>
              <w:rPr>
                <w:b/>
                <w:bCs/>
                <w:color w:val="FFFFFF"/>
                <w:sz w:val="18"/>
                <w:szCs w:val="18"/>
              </w:rPr>
              <w:t>Mediana valor liquidado</w:t>
            </w:r>
          </w:p>
        </w:tc>
        <w:tc>
          <w:tcPr>
            <w:tcW w:w="2700" w:type="dxa"/>
            <w:tcBorders>
              <w:top w:val="single" w:sz="2" w:space="0" w:color="BFBFBF"/>
              <w:left w:val="single" w:sz="2" w:space="0" w:color="BFBFBF"/>
              <w:bottom w:val="single" w:sz="2" w:space="0" w:color="BFBFBF"/>
              <w:right w:val="single" w:sz="2" w:space="0" w:color="BFBFBF"/>
            </w:tcBorders>
            <w:shd w:val="clear" w:color="auto" w:fill="1F4E5F"/>
            <w:tcMar>
              <w:top w:w="80" w:type="dxa"/>
              <w:left w:w="100" w:type="dxa"/>
              <w:bottom w:w="80" w:type="dxa"/>
              <w:right w:w="100" w:type="dxa"/>
            </w:tcMar>
          </w:tcPr>
          <w:p w14:paraId="7ACD2351" w14:textId="77777777" w:rsidR="0053630F" w:rsidRDefault="00000000">
            <w:r>
              <w:rPr>
                <w:b/>
                <w:bCs/>
                <w:color w:val="FFFFFF"/>
                <w:sz w:val="18"/>
                <w:szCs w:val="18"/>
              </w:rPr>
              <w:t>Mediana valor sin liquidar</w:t>
            </w:r>
          </w:p>
        </w:tc>
      </w:tr>
      <w:tr w:rsidR="0053630F" w14:paraId="35D66DEF" w14:textId="77777777">
        <w:tblPrEx>
          <w:tblCellMar>
            <w:top w:w="0" w:type="dxa"/>
            <w:bottom w:w="0" w:type="dxa"/>
          </w:tblCellMar>
        </w:tblPrEx>
        <w:trPr>
          <w:cantSplit/>
        </w:trPr>
        <w:tc>
          <w:tcPr>
            <w:tcW w:w="3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A9C5603" w14:textId="77777777" w:rsidR="0053630F" w:rsidRDefault="00000000">
            <w:r>
              <w:rPr>
                <w:sz w:val="18"/>
                <w:szCs w:val="18"/>
              </w:rPr>
              <w:t>Contratación Directa (con ofertas)</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4A9C7221" w14:textId="77777777" w:rsidR="0053630F" w:rsidRDefault="00000000">
            <w:r>
              <w:rPr>
                <w:sz w:val="18"/>
                <w:szCs w:val="18"/>
              </w:rPr>
              <w:t>$112.954.400</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ED328F0" w14:textId="77777777" w:rsidR="0053630F" w:rsidRDefault="00000000">
            <w:r>
              <w:rPr>
                <w:sz w:val="18"/>
                <w:szCs w:val="18"/>
              </w:rPr>
              <w:t>$66.331.450</w:t>
            </w:r>
          </w:p>
        </w:tc>
      </w:tr>
      <w:tr w:rsidR="0053630F" w14:paraId="5E6DE682" w14:textId="77777777">
        <w:tblPrEx>
          <w:tblCellMar>
            <w:top w:w="0" w:type="dxa"/>
            <w:bottom w:w="0" w:type="dxa"/>
          </w:tblCellMar>
        </w:tblPrEx>
        <w:trPr>
          <w:cantSplit/>
        </w:trPr>
        <w:tc>
          <w:tcPr>
            <w:tcW w:w="3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7E442F47" w14:textId="77777777" w:rsidR="0053630F" w:rsidRDefault="00000000">
            <w:r>
              <w:rPr>
                <w:sz w:val="18"/>
                <w:szCs w:val="18"/>
              </w:rPr>
              <w:t>Contratación directa</w:t>
            </w:r>
          </w:p>
        </w:tc>
        <w:tc>
          <w:tcPr>
            <w:tcW w:w="27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8D6C59C" w14:textId="77777777" w:rsidR="0053630F" w:rsidRDefault="00000000">
            <w:r>
              <w:rPr>
                <w:sz w:val="18"/>
                <w:szCs w:val="18"/>
              </w:rPr>
              <w:t>$53.886.500</w:t>
            </w:r>
          </w:p>
        </w:tc>
        <w:tc>
          <w:tcPr>
            <w:tcW w:w="27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0267AD3E" w14:textId="77777777" w:rsidR="0053630F" w:rsidRDefault="00000000">
            <w:r>
              <w:rPr>
                <w:sz w:val="18"/>
                <w:szCs w:val="18"/>
              </w:rPr>
              <w:t>$45.000.000</w:t>
            </w:r>
          </w:p>
        </w:tc>
      </w:tr>
      <w:tr w:rsidR="0053630F" w14:paraId="6400F783" w14:textId="77777777">
        <w:tblPrEx>
          <w:tblCellMar>
            <w:top w:w="0" w:type="dxa"/>
            <w:bottom w:w="0" w:type="dxa"/>
          </w:tblCellMar>
        </w:tblPrEx>
        <w:trPr>
          <w:cantSplit/>
        </w:trPr>
        <w:tc>
          <w:tcPr>
            <w:tcW w:w="3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3930F1E8" w14:textId="77777777" w:rsidR="0053630F" w:rsidRDefault="00000000">
            <w:r>
              <w:rPr>
                <w:sz w:val="18"/>
                <w:szCs w:val="18"/>
              </w:rPr>
              <w:t>Contratación régimen especial</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5BD123F" w14:textId="77777777" w:rsidR="0053630F" w:rsidRDefault="00000000">
            <w:r>
              <w:rPr>
                <w:sz w:val="18"/>
                <w:szCs w:val="18"/>
              </w:rPr>
              <w:t>$41.865.350</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171C0DE" w14:textId="77777777" w:rsidR="0053630F" w:rsidRDefault="00000000">
            <w:r>
              <w:rPr>
                <w:sz w:val="18"/>
                <w:szCs w:val="18"/>
              </w:rPr>
              <w:t>$27.817.440</w:t>
            </w:r>
          </w:p>
        </w:tc>
      </w:tr>
      <w:tr w:rsidR="0053630F" w14:paraId="0A873AFF" w14:textId="77777777">
        <w:tblPrEx>
          <w:tblCellMar>
            <w:top w:w="0" w:type="dxa"/>
            <w:bottom w:w="0" w:type="dxa"/>
          </w:tblCellMar>
        </w:tblPrEx>
        <w:trPr>
          <w:cantSplit/>
        </w:trPr>
        <w:tc>
          <w:tcPr>
            <w:tcW w:w="3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42447E4" w14:textId="77777777" w:rsidR="0053630F" w:rsidRDefault="00000000">
            <w:r>
              <w:rPr>
                <w:sz w:val="18"/>
                <w:szCs w:val="18"/>
              </w:rPr>
              <w:t>Contratación régimen especial (con ofertas)</w:t>
            </w:r>
          </w:p>
        </w:tc>
        <w:tc>
          <w:tcPr>
            <w:tcW w:w="27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4EE6AD80" w14:textId="77777777" w:rsidR="0053630F" w:rsidRDefault="00000000">
            <w:r>
              <w:rPr>
                <w:sz w:val="18"/>
                <w:szCs w:val="18"/>
              </w:rPr>
              <w:t>$87.404.190</w:t>
            </w:r>
          </w:p>
        </w:tc>
        <w:tc>
          <w:tcPr>
            <w:tcW w:w="27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029ADFC5" w14:textId="77777777" w:rsidR="0053630F" w:rsidRDefault="00000000">
            <w:r>
              <w:rPr>
                <w:sz w:val="18"/>
                <w:szCs w:val="18"/>
              </w:rPr>
              <w:t>$54.498.620</w:t>
            </w:r>
          </w:p>
        </w:tc>
      </w:tr>
      <w:tr w:rsidR="0053630F" w14:paraId="04A13443" w14:textId="77777777">
        <w:tblPrEx>
          <w:tblCellMar>
            <w:top w:w="0" w:type="dxa"/>
            <w:bottom w:w="0" w:type="dxa"/>
          </w:tblCellMar>
        </w:tblPrEx>
        <w:trPr>
          <w:cantSplit/>
        </w:trPr>
        <w:tc>
          <w:tcPr>
            <w:tcW w:w="3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0EF057C" w14:textId="77777777" w:rsidR="0053630F" w:rsidRDefault="00000000">
            <w:r>
              <w:rPr>
                <w:sz w:val="18"/>
                <w:szCs w:val="18"/>
              </w:rPr>
              <w:t>Licitación pública</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6CB21D08" w14:textId="77777777" w:rsidR="0053630F" w:rsidRDefault="00000000">
            <w:r>
              <w:rPr>
                <w:sz w:val="18"/>
                <w:szCs w:val="18"/>
              </w:rPr>
              <w:t>$900.000.000</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0810B94B" w14:textId="77777777" w:rsidR="0053630F" w:rsidRDefault="00000000">
            <w:r>
              <w:rPr>
                <w:sz w:val="18"/>
                <w:szCs w:val="18"/>
              </w:rPr>
              <w:t>$1.221.053.000</w:t>
            </w:r>
          </w:p>
        </w:tc>
      </w:tr>
      <w:tr w:rsidR="0053630F" w14:paraId="2F94BF52" w14:textId="77777777">
        <w:tblPrEx>
          <w:tblCellMar>
            <w:top w:w="0" w:type="dxa"/>
            <w:bottom w:w="0" w:type="dxa"/>
          </w:tblCellMar>
        </w:tblPrEx>
        <w:trPr>
          <w:cantSplit/>
        </w:trPr>
        <w:tc>
          <w:tcPr>
            <w:tcW w:w="3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375EA2CA" w14:textId="77777777" w:rsidR="0053630F" w:rsidRDefault="00000000">
            <w:r>
              <w:rPr>
                <w:sz w:val="18"/>
                <w:szCs w:val="18"/>
              </w:rPr>
              <w:t>Mínima cuantía</w:t>
            </w:r>
          </w:p>
        </w:tc>
        <w:tc>
          <w:tcPr>
            <w:tcW w:w="27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4497FEEB" w14:textId="77777777" w:rsidR="0053630F" w:rsidRDefault="00000000">
            <w:r>
              <w:rPr>
                <w:sz w:val="18"/>
                <w:szCs w:val="18"/>
              </w:rPr>
              <w:t>$24.997.190</w:t>
            </w:r>
          </w:p>
        </w:tc>
        <w:tc>
          <w:tcPr>
            <w:tcW w:w="27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61B478E" w14:textId="77777777" w:rsidR="0053630F" w:rsidRDefault="00000000">
            <w:r>
              <w:rPr>
                <w:sz w:val="18"/>
                <w:szCs w:val="18"/>
              </w:rPr>
              <w:t>$19.091.800</w:t>
            </w:r>
          </w:p>
        </w:tc>
      </w:tr>
      <w:tr w:rsidR="0053630F" w14:paraId="49F19A6C" w14:textId="77777777">
        <w:tblPrEx>
          <w:tblCellMar>
            <w:top w:w="0" w:type="dxa"/>
            <w:bottom w:w="0" w:type="dxa"/>
          </w:tblCellMar>
        </w:tblPrEx>
        <w:trPr>
          <w:cantSplit/>
        </w:trPr>
        <w:tc>
          <w:tcPr>
            <w:tcW w:w="3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787C711F" w14:textId="77777777" w:rsidR="0053630F" w:rsidRDefault="00000000">
            <w:r>
              <w:rPr>
                <w:sz w:val="18"/>
                <w:szCs w:val="18"/>
              </w:rPr>
              <w:lastRenderedPageBreak/>
              <w:t>Selección Abreviada Menor Cuantía Sin Manifestación Interés</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590CA547" w14:textId="77777777" w:rsidR="0053630F" w:rsidRDefault="00000000">
            <w:r>
              <w:rPr>
                <w:sz w:val="18"/>
                <w:szCs w:val="18"/>
              </w:rPr>
              <w:t>$227.207.300</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552D67BD" w14:textId="77777777" w:rsidR="0053630F" w:rsidRDefault="00000000">
            <w:r>
              <w:rPr>
                <w:sz w:val="18"/>
                <w:szCs w:val="18"/>
              </w:rPr>
              <w:t>$472.678.700</w:t>
            </w:r>
          </w:p>
        </w:tc>
      </w:tr>
      <w:tr w:rsidR="0053630F" w14:paraId="65064D96" w14:textId="77777777">
        <w:tblPrEx>
          <w:tblCellMar>
            <w:top w:w="0" w:type="dxa"/>
            <w:bottom w:w="0" w:type="dxa"/>
          </w:tblCellMar>
        </w:tblPrEx>
        <w:trPr>
          <w:cantSplit/>
        </w:trPr>
        <w:tc>
          <w:tcPr>
            <w:tcW w:w="36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54BDF621" w14:textId="77777777" w:rsidR="0053630F" w:rsidRDefault="00000000">
            <w:r>
              <w:rPr>
                <w:sz w:val="18"/>
                <w:szCs w:val="18"/>
              </w:rPr>
              <w:t>Selección Abreviada de Menor Cuantía</w:t>
            </w:r>
          </w:p>
        </w:tc>
        <w:tc>
          <w:tcPr>
            <w:tcW w:w="27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1698221D" w14:textId="77777777" w:rsidR="0053630F" w:rsidRDefault="00000000">
            <w:r>
              <w:rPr>
                <w:sz w:val="18"/>
                <w:szCs w:val="18"/>
              </w:rPr>
              <w:t>$209.529.000</w:t>
            </w:r>
          </w:p>
        </w:tc>
        <w:tc>
          <w:tcPr>
            <w:tcW w:w="2700" w:type="dxa"/>
            <w:tcBorders>
              <w:top w:val="single" w:sz="2" w:space="0" w:color="BFBFBF"/>
              <w:left w:val="single" w:sz="2" w:space="0" w:color="BFBFBF"/>
              <w:bottom w:val="single" w:sz="2" w:space="0" w:color="BFBFBF"/>
              <w:right w:val="single" w:sz="2" w:space="0" w:color="BFBFBF"/>
            </w:tcBorders>
            <w:shd w:val="clear" w:color="auto" w:fill="F2F2F2"/>
            <w:tcMar>
              <w:top w:w="60" w:type="dxa"/>
              <w:left w:w="100" w:type="dxa"/>
              <w:bottom w:w="60" w:type="dxa"/>
              <w:right w:w="100" w:type="dxa"/>
            </w:tcMar>
          </w:tcPr>
          <w:p w14:paraId="65616902" w14:textId="77777777" w:rsidR="0053630F" w:rsidRDefault="00000000">
            <w:r>
              <w:rPr>
                <w:sz w:val="18"/>
                <w:szCs w:val="18"/>
              </w:rPr>
              <w:t>$165.224.400</w:t>
            </w:r>
          </w:p>
        </w:tc>
      </w:tr>
      <w:tr w:rsidR="0053630F" w14:paraId="28760E0B" w14:textId="77777777">
        <w:tblPrEx>
          <w:tblCellMar>
            <w:top w:w="0" w:type="dxa"/>
            <w:bottom w:w="0" w:type="dxa"/>
          </w:tblCellMar>
        </w:tblPrEx>
        <w:trPr>
          <w:cantSplit/>
        </w:trPr>
        <w:tc>
          <w:tcPr>
            <w:tcW w:w="36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3DDB67DB" w14:textId="77777777" w:rsidR="0053630F" w:rsidRDefault="00000000">
            <w:r>
              <w:rPr>
                <w:sz w:val="18"/>
                <w:szCs w:val="18"/>
              </w:rPr>
              <w:t>Selección abreviada subasta inversa</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52C19C5" w14:textId="77777777" w:rsidR="0053630F" w:rsidRDefault="00000000">
            <w:r>
              <w:rPr>
                <w:sz w:val="18"/>
                <w:szCs w:val="18"/>
              </w:rPr>
              <w:t>$231.018.200</w:t>
            </w:r>
          </w:p>
        </w:tc>
        <w:tc>
          <w:tcPr>
            <w:tcW w:w="2700" w:type="dxa"/>
            <w:tcBorders>
              <w:top w:val="single" w:sz="2" w:space="0" w:color="BFBFBF"/>
              <w:left w:val="single" w:sz="2" w:space="0" w:color="BFBFBF"/>
              <w:bottom w:val="single" w:sz="2" w:space="0" w:color="BFBFBF"/>
              <w:right w:val="single" w:sz="2" w:space="0" w:color="BFBFBF"/>
            </w:tcBorders>
            <w:tcMar>
              <w:top w:w="60" w:type="dxa"/>
              <w:left w:w="100" w:type="dxa"/>
              <w:bottom w:w="60" w:type="dxa"/>
              <w:right w:w="100" w:type="dxa"/>
            </w:tcMar>
          </w:tcPr>
          <w:p w14:paraId="27E572E9" w14:textId="77777777" w:rsidR="0053630F" w:rsidRDefault="00000000">
            <w:r>
              <w:rPr>
                <w:sz w:val="18"/>
                <w:szCs w:val="18"/>
              </w:rPr>
              <w:t>$187.622.800</w:t>
            </w:r>
          </w:p>
        </w:tc>
      </w:tr>
    </w:tbl>
    <w:p w14:paraId="540574B7" w14:textId="77777777" w:rsidR="0053630F" w:rsidRDefault="0053630F">
      <w:pPr>
        <w:spacing w:after="200"/>
      </w:pPr>
    </w:p>
    <w:p w14:paraId="705B7D93" w14:textId="0ED81FB5" w:rsidR="0053630F" w:rsidRDefault="00000000">
      <w:pPr>
        <w:jc w:val="both"/>
      </w:pPr>
      <w:r>
        <w:rPr>
          <w:sz w:val="22"/>
          <w:szCs w:val="22"/>
        </w:rPr>
        <w:t xml:space="preserve">En 7 de las 9 modalidades, la mediana del valor es más alta entre los contratos liquidados que entre los sin liquidar, lo que sugiere que dentro de la mayoría de </w:t>
      </w:r>
      <w:r w:rsidR="00F26A04">
        <w:rPr>
          <w:sz w:val="22"/>
          <w:szCs w:val="22"/>
        </w:rPr>
        <w:t>las modalidades</w:t>
      </w:r>
      <w:r>
        <w:rPr>
          <w:sz w:val="22"/>
          <w:szCs w:val="22"/>
        </w:rPr>
        <w:t xml:space="preserve"> son los contratos de menor valor los que tienden a quedar sin liquidar. La excepción más relevante es Licitación pública, donde los contratos sin liquidar tienen una mediana de valor mayor que los liquidados (1.221 millones frente a 900 millones), lo que significa que los contratos sin liquidar más costosos de toda la base de datos están concentrados en esta modalidad.</w:t>
      </w:r>
    </w:p>
    <w:p w14:paraId="00ED5C3A" w14:textId="77777777" w:rsidR="0053630F" w:rsidRDefault="00000000">
      <w:pPr>
        <w:pStyle w:val="Ttulo2"/>
        <w:spacing w:before="240" w:after="120"/>
      </w:pPr>
      <w:r>
        <w:t>4.3 Riesgo de cierre sin liquidar por sector</w:t>
      </w:r>
    </w:p>
    <w:p w14:paraId="2CF7DF3C" w14:textId="77777777" w:rsidR="0053630F" w:rsidRDefault="00000000">
      <w:pPr>
        <w:jc w:val="both"/>
      </w:pPr>
      <w:r>
        <w:rPr>
          <w:sz w:val="22"/>
          <w:szCs w:val="22"/>
        </w:rPr>
        <w:t>Sector resultó ser el predictor más fuerte de todo el análisis, pero no tenía ninguna representación visual. Este gráfico muestra el porcentaje de contratos sin liquidar por sector, ordenado de mayor a menor, coloreando cada barra según su número de contratos (escala logarítmica) para distinguir hallazgos robustos de hallazgos basados en muestras pequeñas.</w:t>
      </w:r>
    </w:p>
    <w:p w14:paraId="3C3BC32F" w14:textId="77777777" w:rsidR="0053630F" w:rsidRDefault="00000000">
      <w:pPr>
        <w:jc w:val="center"/>
      </w:pPr>
      <w:r>
        <w:rPr>
          <w:noProof/>
        </w:rPr>
        <w:drawing>
          <wp:inline distT="0" distB="0" distL="0" distR="0" wp14:anchorId="1625CAA6" wp14:editId="7F8D76BD">
            <wp:extent cx="4572000" cy="3771900"/>
            <wp:effectExtent l="0" t="0" r="0" b="0"/>
            <wp:docPr id="1512319831" name="Imagen 1512319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572000" cy="3771900"/>
                    </a:xfrm>
                    <a:prstGeom prst="rect">
                      <a:avLst/>
                    </a:prstGeom>
                  </pic:spPr>
                </pic:pic>
              </a:graphicData>
            </a:graphic>
          </wp:inline>
        </w:drawing>
      </w:r>
    </w:p>
    <w:p w14:paraId="5BBBC4DE" w14:textId="77777777" w:rsidR="0053630F" w:rsidRDefault="00000000">
      <w:pPr>
        <w:spacing w:after="260"/>
        <w:jc w:val="center"/>
      </w:pPr>
      <w:r>
        <w:rPr>
          <w:i/>
          <w:iCs/>
          <w:color w:val="595959"/>
          <w:sz w:val="18"/>
          <w:szCs w:val="18"/>
        </w:rPr>
        <w:t>Figura 3. Porcentaje de cierre sin liquidar por sector.</w:t>
      </w:r>
    </w:p>
    <w:p w14:paraId="4D7C5243" w14:textId="77777777" w:rsidR="0053630F" w:rsidRDefault="00000000">
      <w:pPr>
        <w:jc w:val="both"/>
      </w:pPr>
      <w:r>
        <w:rPr>
          <w:sz w:val="22"/>
          <w:szCs w:val="22"/>
        </w:rPr>
        <w:lastRenderedPageBreak/>
        <w:t>El riesgo por sector no está relacionado con el volumen de contratos. Ley de Justicia (8.676 contratos, 71.35%) y Salud y Protección Social (11.097 contratos, 70.67%) se ubican claramente por encima del promedio general (55.31%) y combinan una tasa alta con una muestra grande, lo que los convierte en los hallazgos más sólidos y accionables de todo el análisis. defensa, el segundo sector de mayor volumen (23.539 contratos), se ubica muy por debajo del promedio (33.10%), y Servicio Público, el de mayor volumen (17.594 contratos), se ubica prácticamente sobre la línea de referencia (54.30%). Los porcentajes más altos del gráfico (Ciencia Tecnología con 90.97%, Información Estadística con 78.35%) corresponden a sectores de volumen bajo (321 y 231 contratos), por lo que deben interpretarse con más cautela.</w:t>
      </w:r>
    </w:p>
    <w:p w14:paraId="356CB779" w14:textId="77777777" w:rsidR="0053630F" w:rsidRDefault="00000000">
      <w:pPr>
        <w:pStyle w:val="Ttulo1"/>
        <w:spacing w:before="300" w:after="150"/>
      </w:pPr>
      <w:r>
        <w:t>5. Criterios de focalización propuestos</w:t>
      </w:r>
    </w:p>
    <w:p w14:paraId="26C75C59" w14:textId="77777777" w:rsidR="0053630F" w:rsidRDefault="00000000">
      <w:pPr>
        <w:pStyle w:val="Ttulo2"/>
        <w:spacing w:before="240" w:after="120"/>
      </w:pPr>
      <w:r>
        <w:t>5.1 Foco principal: por sector</w:t>
      </w:r>
    </w:p>
    <w:p w14:paraId="492E8F6F" w14:textId="6B21549C" w:rsidR="0053630F" w:rsidRDefault="00000000">
      <w:pPr>
        <w:jc w:val="both"/>
      </w:pPr>
      <w:r>
        <w:rPr>
          <w:sz w:val="22"/>
          <w:szCs w:val="22"/>
        </w:rPr>
        <w:t xml:space="preserve">Ley de Justicia (8.676 contratos, 71.35% sin liquidar) y Salud y Protección Social (11.097 contratos, 70.67% sin liquidar) son los hallazgos más sólidos de todo el análisis, combinan una tasa muy por encima del promedio general (55.31%) con un volumen de contratos suficientemente grande para que la estimación sea confiable. Se recomienda que estos dos sectores sean el primer criterio de focalización. En contraste, defensa, </w:t>
      </w:r>
      <w:r w:rsidR="008A5C60">
        <w:rPr>
          <w:sz w:val="22"/>
          <w:szCs w:val="22"/>
        </w:rPr>
        <w:t>a pesar de</w:t>
      </w:r>
      <w:r>
        <w:rPr>
          <w:sz w:val="22"/>
          <w:szCs w:val="22"/>
        </w:rPr>
        <w:t xml:space="preserve"> ser el segundo sector de mayor volumen (23.539 contratos), tiene una tasa de sin liquidar notablemente baja (33.10%), y Servicio Público, el sector de mayor volumen (17.594 contratos), se ubica prácticamente en el promedio general (54.30%), ninguno de los dos debería priorizarse por esta señal.</w:t>
      </w:r>
    </w:p>
    <w:p w14:paraId="1A416BA5" w14:textId="77777777" w:rsidR="0053630F" w:rsidRDefault="00000000">
      <w:pPr>
        <w:pStyle w:val="Ttulo2"/>
        <w:spacing w:before="240" w:after="120"/>
      </w:pPr>
      <w:r>
        <w:t>5.2 Foco secundario: por modalidad de contratación</w:t>
      </w:r>
    </w:p>
    <w:p w14:paraId="5ACB5602" w14:textId="77777777" w:rsidR="0053630F" w:rsidRDefault="00000000">
      <w:pPr>
        <w:jc w:val="both"/>
      </w:pPr>
      <w:r>
        <w:rPr>
          <w:sz w:val="22"/>
          <w:szCs w:val="22"/>
        </w:rPr>
        <w:t>Contratación régimen especial (con ofertas) se mantiene como un foco transversal, con el porcentaje más alto de no ejecución (38.64%) y de cierre sin liquidar (81.74%) entre todas las modalidades. Licitación pública es un foco distinto y específico, no destaca en no ejecución ni en sin liquidar, pero tiene la adición de plazo promedio más alta (18.65 días) y concentra sus contratos sin liquidar en los de mayor valor, por lo que su supervisión debería enfocarse en plazos y en los contratos de mayor cuantía dentro de esta modalidad.</w:t>
      </w:r>
    </w:p>
    <w:p w14:paraId="45AF65FD" w14:textId="77777777" w:rsidR="0053630F" w:rsidRDefault="00000000">
      <w:pPr>
        <w:pStyle w:val="Ttulo2"/>
        <w:spacing w:before="240" w:after="120"/>
      </w:pPr>
      <w:r>
        <w:t>5.3 El valor del contrato como criterio secundario, no independiente</w:t>
      </w:r>
    </w:p>
    <w:p w14:paraId="74E87DE3" w14:textId="77777777" w:rsidR="0053630F" w:rsidRDefault="00000000">
      <w:pPr>
        <w:jc w:val="both"/>
      </w:pPr>
      <w:r>
        <w:rPr>
          <w:sz w:val="22"/>
          <w:szCs w:val="22"/>
        </w:rPr>
        <w:t>Al probarlo de forma aislada, el valor del contrato no superó el umbral de relevancia práctica definido (diferencia relativa de 28.71% entre medianas, frente a un umbral de 30%), y su relación con el riesgo cambia de dirección según la modalidad, en Licitación pública los contratos sin liquidar son los más costosos, mientras que en la mayoría de las demás modalidades ocurre lo contrario. Por esto, el valor del contrato debería usarse como un filtro adicional dentro de una modalidad o sector ya identificado como riesgoso, no como un criterio de focalización por sí solo.</w:t>
      </w:r>
    </w:p>
    <w:p w14:paraId="16326BA6" w14:textId="77777777" w:rsidR="0053630F" w:rsidRDefault="00000000">
      <w:pPr>
        <w:pStyle w:val="Ttulo2"/>
        <w:spacing w:before="240" w:after="120"/>
      </w:pPr>
      <w:r>
        <w:lastRenderedPageBreak/>
        <w:t>5.4 Destino del gasto como señal de calidad de datos</w:t>
      </w:r>
    </w:p>
    <w:p w14:paraId="27586E49" w14:textId="78B7DC2E" w:rsidR="0053630F" w:rsidRDefault="00000000">
      <w:pPr>
        <w:jc w:val="both"/>
      </w:pPr>
      <w:r>
        <w:rPr>
          <w:sz w:val="22"/>
          <w:szCs w:val="22"/>
        </w:rPr>
        <w:t>La diferencia entre Funcionamiento (25.28% no ejecutado) e Inversión (16.31%) fue de apenas 8.97 puntos porcentuales, por debajo del umbral definido. Sin embargo, los registros con destino de gasto sin definir mostraron una tasa de no ejecución mucho más alta (41.69% y 46.80%), lo que sugiere que un registro incompleto en este campo podría ser en sí mismo un indicador de riesgo administrativo. Se recomienda que la oficina de control interno lo revise como una alerta de calidad de datos más que como un criterio de focalización por tipo de gasto.</w:t>
      </w:r>
    </w:p>
    <w:p w14:paraId="068BBC17" w14:textId="77777777" w:rsidR="0053630F" w:rsidRDefault="00000000">
      <w:pPr>
        <w:pStyle w:val="Ttulo2"/>
        <w:spacing w:before="240" w:after="120"/>
      </w:pPr>
      <w:r>
        <w:t>5.5 No priorizar por volumen: Mínima cuantía, Servicio Público y defensa</w:t>
      </w:r>
    </w:p>
    <w:p w14:paraId="39BB8277" w14:textId="77777777" w:rsidR="0053630F" w:rsidRDefault="00000000">
      <w:pPr>
        <w:jc w:val="both"/>
      </w:pPr>
      <w:r>
        <w:rPr>
          <w:sz w:val="22"/>
          <w:szCs w:val="22"/>
        </w:rPr>
        <w:t>Mínima cuantía concentra el 60% de todos los contratos de la base de datos (117.753 de 196.391), pero sus porcentajes de no ejecución (20.06%) y de cierre sin liquidar (55.70%) están cerca del promedio general. De forma similar, Servicio Público y defensa, los dos sectores de mayor volumen, no destacan como grupos de riesgo diferencial. Priorizar supervisión únicamente por volumen, sin evidencia de riesgo diferencial, sería ineficiente frente a las modalidades y sectores con señales más claras.</w:t>
      </w:r>
    </w:p>
    <w:p w14:paraId="6988ED57" w14:textId="77777777" w:rsidR="0053630F" w:rsidRDefault="00000000">
      <w:pPr>
        <w:pStyle w:val="Ttulo1"/>
        <w:spacing w:before="300" w:after="150"/>
      </w:pPr>
      <w:r>
        <w:t>6. Limitaciones del análisis</w:t>
      </w:r>
    </w:p>
    <w:p w14:paraId="450601D7" w14:textId="17B79975" w:rsidR="0053630F" w:rsidRDefault="00000000">
      <w:pPr>
        <w:jc w:val="both"/>
      </w:pPr>
      <w:r>
        <w:rPr>
          <w:sz w:val="22"/>
          <w:szCs w:val="22"/>
        </w:rPr>
        <w:t xml:space="preserve">Los cuatro factores, modalidad, valor del contrato, destino del gasto y sector, se probaron de forma independiente entre sí frente a cada señal de desviación. No se evaluaron sus interacciones, por </w:t>
      </w:r>
      <w:r w:rsidR="00F26A04">
        <w:rPr>
          <w:sz w:val="22"/>
          <w:szCs w:val="22"/>
        </w:rPr>
        <w:t>ejemplo,</w:t>
      </w:r>
      <w:r>
        <w:rPr>
          <w:sz w:val="22"/>
          <w:szCs w:val="22"/>
        </w:rPr>
        <w:t xml:space="preserve"> si el riesgo de Ley de Justicia se concentra además en una modalidad o un rango de valor específico, ni se ajustó un modelo multivariado (como una regresión logística) que controle por todas las variables al mismo tiempo. Es posible que parte de la asociación observada en cada prueba individual se explique por otra variable no incluida en ese análisis puntual.</w:t>
      </w:r>
    </w:p>
    <w:p w14:paraId="128169C7" w14:textId="77777777" w:rsidR="0053630F" w:rsidRDefault="00000000">
      <w:pPr>
        <w:jc w:val="both"/>
      </w:pPr>
      <w:r>
        <w:rPr>
          <w:sz w:val="22"/>
          <w:szCs w:val="22"/>
        </w:rPr>
        <w:t>Con un tamaño de muestra de casi 200.000 contratos, casi cualquier diferencia entre grupos resulta estadísticamente significativa, incluso cuando el tamaño del efecto es pequeño. Por esta razón, todas las conclusiones se basaron en umbrales de relevancia práctica definidos antes de cada prueba, y no únicamente en el valor p. La prueba de sector frente a cierre sin liquidar cumplió el supuesto de frecuencia esperada mínima, pero de forma ajustada (13.85, cerca del límite de 5), dado que algunos sectores como Inteligencia Estratégica y Contrainteligencia tienen muestras pequeñas (31 contratos en total).</w:t>
      </w:r>
    </w:p>
    <w:p w14:paraId="09C3B483" w14:textId="483C2E9E" w:rsidR="0053630F" w:rsidRDefault="00000000">
      <w:pPr>
        <w:jc w:val="both"/>
      </w:pPr>
      <w:r>
        <w:rPr>
          <w:sz w:val="22"/>
          <w:szCs w:val="22"/>
        </w:rPr>
        <w:t xml:space="preserve">Las banderas de no ejecución y de cierre sin liquidar son </w:t>
      </w:r>
      <w:r w:rsidR="00F26A04">
        <w:rPr>
          <w:sz w:val="22"/>
          <w:szCs w:val="22"/>
        </w:rPr>
        <w:t>proxis</w:t>
      </w:r>
      <w:r>
        <w:rPr>
          <w:sz w:val="22"/>
          <w:szCs w:val="22"/>
        </w:rPr>
        <w:t xml:space="preserve"> construidos a partir de reglas simples, y las categorías No aplica y No Definido de destino del gasto, así como No Definido de sector (excluida de la prueba correspondiente por tener solo 9 contratos), probablemente reflejan problemas de registro o clasificación incompleta más que una categoría sustantiva, lo que limita la interpretación de esos resultados específicos.</w:t>
      </w:r>
    </w:p>
    <w:p w14:paraId="3745D856" w14:textId="77777777" w:rsidR="0053630F" w:rsidRDefault="00000000">
      <w:pPr>
        <w:jc w:val="both"/>
      </w:pPr>
      <w:r>
        <w:rPr>
          <w:sz w:val="22"/>
          <w:szCs w:val="22"/>
        </w:rPr>
        <w:t>Finalmente, este análisis identifica asociaciones estadísticas y patrones descriptivos, no relaciones causales. Cualquier criterio de focalización propuesto aquí debería validarse con conocimiento del proceso administrativo real antes de implementarse como política de supervisión.</w:t>
      </w:r>
    </w:p>
    <w:sectPr w:rsidR="0053630F">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2397C"/>
    <w:multiLevelType w:val="hybridMultilevel"/>
    <w:tmpl w:val="06646CFA"/>
    <w:lvl w:ilvl="0" w:tplc="28B402A4">
      <w:start w:val="1"/>
      <w:numFmt w:val="bullet"/>
      <w:lvlText w:val="●"/>
      <w:lvlJc w:val="left"/>
      <w:pPr>
        <w:ind w:left="720" w:hanging="360"/>
      </w:pPr>
    </w:lvl>
    <w:lvl w:ilvl="1" w:tplc="9F68C994">
      <w:start w:val="1"/>
      <w:numFmt w:val="bullet"/>
      <w:lvlText w:val="○"/>
      <w:lvlJc w:val="left"/>
      <w:pPr>
        <w:ind w:left="1440" w:hanging="360"/>
      </w:pPr>
    </w:lvl>
    <w:lvl w:ilvl="2" w:tplc="B46E83C2">
      <w:start w:val="1"/>
      <w:numFmt w:val="bullet"/>
      <w:lvlText w:val="■"/>
      <w:lvlJc w:val="left"/>
      <w:pPr>
        <w:ind w:left="2160" w:hanging="360"/>
      </w:pPr>
    </w:lvl>
    <w:lvl w:ilvl="3" w:tplc="3B22FEE2">
      <w:start w:val="1"/>
      <w:numFmt w:val="bullet"/>
      <w:lvlText w:val="●"/>
      <w:lvlJc w:val="left"/>
      <w:pPr>
        <w:ind w:left="2880" w:hanging="360"/>
      </w:pPr>
    </w:lvl>
    <w:lvl w:ilvl="4" w:tplc="E65840C0">
      <w:start w:val="1"/>
      <w:numFmt w:val="bullet"/>
      <w:lvlText w:val="○"/>
      <w:lvlJc w:val="left"/>
      <w:pPr>
        <w:ind w:left="3600" w:hanging="360"/>
      </w:pPr>
    </w:lvl>
    <w:lvl w:ilvl="5" w:tplc="5762C1E2">
      <w:start w:val="1"/>
      <w:numFmt w:val="bullet"/>
      <w:lvlText w:val="■"/>
      <w:lvlJc w:val="left"/>
      <w:pPr>
        <w:ind w:left="4320" w:hanging="360"/>
      </w:pPr>
    </w:lvl>
    <w:lvl w:ilvl="6" w:tplc="B69C1546">
      <w:start w:val="1"/>
      <w:numFmt w:val="bullet"/>
      <w:lvlText w:val="●"/>
      <w:lvlJc w:val="left"/>
      <w:pPr>
        <w:ind w:left="5040" w:hanging="360"/>
      </w:pPr>
    </w:lvl>
    <w:lvl w:ilvl="7" w:tplc="5BE4D5D0">
      <w:start w:val="1"/>
      <w:numFmt w:val="bullet"/>
      <w:lvlText w:val="●"/>
      <w:lvlJc w:val="left"/>
      <w:pPr>
        <w:ind w:left="5760" w:hanging="360"/>
      </w:pPr>
    </w:lvl>
    <w:lvl w:ilvl="8" w:tplc="0A442932">
      <w:start w:val="1"/>
      <w:numFmt w:val="bullet"/>
      <w:lvlText w:val="●"/>
      <w:lvlJc w:val="left"/>
      <w:pPr>
        <w:ind w:left="6480" w:hanging="360"/>
      </w:pPr>
    </w:lvl>
  </w:abstractNum>
  <w:num w:numId="1" w16cid:durableId="180395938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30F"/>
    <w:rsid w:val="0053630F"/>
    <w:rsid w:val="007B19DA"/>
    <w:rsid w:val="008A5C60"/>
    <w:rsid w:val="00B3584B"/>
    <w:rsid w:val="00F26A04"/>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1C4FD"/>
  <w15:docId w15:val="{8804DE08-7F5C-41EE-B21E-47FC945548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s-CO"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6A04"/>
  </w:style>
  <w:style w:type="paragraph" w:styleId="Ttulo1">
    <w:name w:val="heading 1"/>
    <w:uiPriority w:val="9"/>
    <w:qFormat/>
    <w:pPr>
      <w:keepNext/>
      <w:keepLines/>
      <w:spacing w:before="360" w:after="80"/>
      <w:outlineLvl w:val="0"/>
    </w:pPr>
    <w:rPr>
      <w:rFonts w:asciiTheme="majorHAnsi" w:eastAsiaTheme="majorEastAsia" w:hAnsiTheme="majorHAnsi" w:cstheme="majorBidi"/>
      <w:color w:val="6B911C" w:themeColor="accent1" w:themeShade="BF"/>
      <w:sz w:val="40"/>
      <w:szCs w:val="40"/>
    </w:rPr>
  </w:style>
  <w:style w:type="paragraph" w:styleId="Ttulo2">
    <w:name w:val="heading 2"/>
    <w:uiPriority w:val="9"/>
    <w:semiHidden/>
    <w:unhideWhenUsed/>
    <w:qFormat/>
    <w:pPr>
      <w:keepNext/>
      <w:keepLines/>
      <w:spacing w:before="160" w:after="80"/>
      <w:outlineLvl w:val="1"/>
    </w:pPr>
    <w:rPr>
      <w:rFonts w:asciiTheme="majorHAnsi" w:eastAsiaTheme="majorEastAsia" w:hAnsiTheme="majorHAnsi" w:cstheme="majorBidi"/>
      <w:color w:val="6B911C" w:themeColor="accent1" w:themeShade="BF"/>
      <w:sz w:val="32"/>
      <w:szCs w:val="32"/>
    </w:rPr>
  </w:style>
  <w:style w:type="paragraph" w:styleId="Ttulo3">
    <w:name w:val="heading 3"/>
    <w:uiPriority w:val="9"/>
    <w:semiHidden/>
    <w:unhideWhenUsed/>
    <w:qFormat/>
    <w:pPr>
      <w:keepNext/>
      <w:keepLines/>
      <w:spacing w:before="160" w:after="80"/>
      <w:outlineLvl w:val="2"/>
    </w:pPr>
    <w:rPr>
      <w:rFonts w:eastAsiaTheme="majorEastAsia" w:cstheme="majorBidi"/>
      <w:color w:val="6B911C" w:themeColor="accent1" w:themeShade="BF"/>
      <w:sz w:val="28"/>
      <w:szCs w:val="28"/>
    </w:rPr>
  </w:style>
  <w:style w:type="paragraph" w:styleId="Ttulo4">
    <w:name w:val="heading 4"/>
    <w:uiPriority w:val="9"/>
    <w:semiHidden/>
    <w:unhideWhenUsed/>
    <w:qFormat/>
    <w:pPr>
      <w:keepNext/>
      <w:keepLines/>
      <w:spacing w:before="80" w:after="40"/>
      <w:outlineLvl w:val="3"/>
    </w:pPr>
    <w:rPr>
      <w:rFonts w:eastAsiaTheme="majorEastAsia" w:cstheme="majorBidi"/>
      <w:i/>
      <w:iCs/>
      <w:color w:val="6B911C" w:themeColor="accent1" w:themeShade="BF"/>
    </w:rPr>
  </w:style>
  <w:style w:type="paragraph" w:styleId="Ttulo5">
    <w:name w:val="heading 5"/>
    <w:uiPriority w:val="9"/>
    <w:semiHidden/>
    <w:unhideWhenUsed/>
    <w:qFormat/>
    <w:pPr>
      <w:keepNext/>
      <w:keepLines/>
      <w:spacing w:before="80" w:after="40"/>
      <w:outlineLvl w:val="4"/>
    </w:pPr>
    <w:rPr>
      <w:rFonts w:eastAsiaTheme="majorEastAsia" w:cstheme="majorBidi"/>
      <w:color w:val="6B911C" w:themeColor="accent1" w:themeShade="BF"/>
    </w:rPr>
  </w:style>
  <w:style w:type="paragraph" w:styleId="Ttulo6">
    <w:name w:val="heading 6"/>
    <w:uiPriority w:val="9"/>
    <w:semiHidden/>
    <w:unhideWhenUsed/>
    <w:qFormat/>
    <w:pPr>
      <w:keepNext/>
      <w:keepLines/>
      <w:spacing w:before="40" w:after="0"/>
      <w:outlineLvl w:val="5"/>
    </w:pPr>
    <w:rPr>
      <w:rFonts w:eastAsiaTheme="majorEastAsia" w:cstheme="majorBidi"/>
      <w:i/>
      <w:iCs/>
      <w:color w:val="595959" w:themeColor="text1" w:themeTint="A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customStyle="1" w:styleId="Fuerte1">
    <w:name w:val="Fuerte1"/>
    <w:rPr>
      <w:b/>
      <w:bCs/>
    </w:rPr>
  </w:style>
  <w:style w:type="paragraph" w:styleId="Prrafodelista">
    <w:name w:val="List Paragraph"/>
    <w:uiPriority w:val="34"/>
    <w:qFormat/>
    <w:pPr>
      <w:ind w:left="720"/>
      <w:contextualSpacing/>
    </w:pPr>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Faceta">
  <a:themeElements>
    <a:clrScheme name="Faceta">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a">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a">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docProps/app.xml><?xml version="1.0" encoding="utf-8"?>
<Properties xmlns="http://schemas.openxmlformats.org/officeDocument/2006/extended-properties" xmlns:vt="http://schemas.openxmlformats.org/officeDocument/2006/docPropsVTypes">
  <Template>Normal</Template>
  <TotalTime>1</TotalTime>
  <Pages>8</Pages>
  <Words>2396</Words>
  <Characters>13183</Characters>
  <Application>Microsoft Office Word</Application>
  <DocSecurity>0</DocSecurity>
  <Lines>109</Lines>
  <Paragraphs>31</Paragraphs>
  <ScaleCrop>false</ScaleCrop>
  <Company/>
  <LinksUpToDate>false</LinksUpToDate>
  <CharactersWithSpaces>15548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Lina Marcela Muñoz</cp:lastModifiedBy>
  <cp:revision>2</cp:revision>
  <dcterms:created xsi:type="dcterms:W3CDTF">2026-09-26T21:31:00Z</dcterms:created>
  <dcterms:modified xsi:type="dcterms:W3CDTF">2026-09-26T21:31:00Z</dcterms:modified>
</cp:coreProperties>
</file>