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1320" w:after="360" w:line="264" w:lineRule="auto"/>
        <w:jc w:val="center"/>
      </w:pPr>
      <w:r>
        <w:rPr>
          <w:rFonts w:ascii="Calibri" w:hAnsi="Calibri"/>
          <w:b/>
          <w:i w:val="0"/>
          <w:color w:val="7A5A00"/>
          <w:sz w:val="21"/>
        </w:rPr>
        <w:t>INDEPENDENT TECHNICAL REVIEW</w:t>
      </w:r>
    </w:p>
    <w:p>
      <w:pPr>
        <w:keepLines w:val="0"/>
        <w:spacing w:before="0" w:after="80" w:line="264" w:lineRule="auto"/>
        <w:jc w:val="center"/>
      </w:pPr>
      <w:r>
        <w:rPr>
          <w:rFonts w:ascii="Calibri" w:hAnsi="Calibri"/>
          <w:b/>
          <w:i w:val="0"/>
          <w:color w:val="172B3A"/>
          <w:sz w:val="60"/>
        </w:rPr>
        <w:t>voi-remsen</w:t>
      </w:r>
    </w:p>
    <w:p>
      <w:pPr>
        <w:keepLines w:val="0"/>
        <w:spacing w:before="0" w:after="120" w:line="264" w:lineRule="auto"/>
        <w:jc w:val="center"/>
      </w:pPr>
      <w:r>
        <w:rPr>
          <w:rFonts w:ascii="Calibri" w:hAnsi="Calibri"/>
          <w:b w:val="0"/>
          <w:i w:val="0"/>
          <w:color w:val="1F4D78"/>
          <w:sz w:val="34"/>
        </w:rPr>
        <w:t>Codebase, Statistical Logic, and Research Readiness</w:t>
      </w:r>
    </w:p>
    <w:p>
      <w:pPr>
        <w:keepLines w:val="0"/>
        <w:spacing w:before="0" w:after="840" w:line="264" w:lineRule="auto"/>
        <w:jc w:val="center"/>
      </w:pPr>
      <w:r>
        <w:rPr>
          <w:rFonts w:ascii="Calibri" w:hAnsi="Calibri"/>
          <w:b w:val="0"/>
          <w:i/>
          <w:color w:val="5B6770"/>
          <w:sz w:val="23"/>
        </w:rPr>
        <w:t>A forensic, mathematics-first review of the current working tree</w:t>
      </w:r>
    </w:p>
    <w:tbl>
      <w:tblPr>
        <w:tblStyle w:val="TableGrid"/>
        <w:jc w:val="left"/>
        <w:tblLook w:firstColumn="1" w:firstRow="1" w:lastColumn="0" w:lastRow="0" w:noHBand="0" w:noVBand="1" w:val="04A0"/>
        <w:tblW w:w="9360" w:type="dxa"/>
        <w:tblInd w:w="120" w:type="dxa"/>
        <w:tblLayout w:type="fixed"/>
      </w:tblPr>
      <w:tblGrid>
        <w:gridCol w:w="2200"/>
        <w:gridCol w:w="7160"/>
      </w:tblGrid>
      <w:tr>
        <w:trPr>
          <w:tblHeader w:val="true"/>
        </w:trPr>
        <w:tc>
          <w:tcPr>
            <w:tcW w:type="dxa" w:w="2200"/>
            <w:shd w:fill="E8EEF5"/>
            <w:tcMar>
              <w:top w:w="80" w:type="dxa"/>
              <w:start w:w="120" w:type="dxa"/>
              <w:bottom w:w="80" w:type="dxa"/>
              <w:end w:w="120" w:type="dxa"/>
            </w:tcMar>
            <w:vAlign w:val="center"/>
          </w:tcPr>
          <w:p>
            <w:pPr>
              <w:spacing w:after="0"/>
            </w:pPr>
            <w:r>
              <w:rPr>
                <w:rFonts w:ascii="Calibri" w:hAnsi="Calibri"/>
                <w:b/>
                <w:color w:val="172B3A"/>
                <w:sz w:val="19"/>
              </w:rPr>
              <w:t>Review field</w:t>
            </w:r>
          </w:p>
        </w:tc>
        <w:tc>
          <w:tcPr>
            <w:tcW w:type="dxa" w:w="7160"/>
            <w:shd w:fill="E8EEF5"/>
            <w:tcMar>
              <w:top w:w="80" w:type="dxa"/>
              <w:start w:w="120" w:type="dxa"/>
              <w:bottom w:w="80" w:type="dxa"/>
              <w:end w:w="120" w:type="dxa"/>
            </w:tcMar>
            <w:vAlign w:val="center"/>
          </w:tcPr>
          <w:p>
            <w:pPr>
              <w:spacing w:after="0"/>
            </w:pPr>
            <w:r>
              <w:rPr>
                <w:rFonts w:ascii="Calibri" w:hAnsi="Calibri"/>
                <w:b/>
                <w:color w:val="172B3A"/>
                <w:sz w:val="19"/>
              </w:rPr>
              <w:t>Value</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9"/>
              </w:rPr>
              <w:t>Repository</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9"/>
              </w:rPr>
              <w:t>/Users/angelinale/voi-remsen</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9"/>
              </w:rPr>
              <w:t>Git basis</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9"/>
              </w:rPr>
              <w:t>main at 005b63e plus the uncommitted working tree</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9"/>
              </w:rPr>
              <w:t>Review date</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9"/>
              </w:rPr>
              <w:t>22 July 2026 (America/New_York)</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9"/>
              </w:rPr>
              <w:t>Scope</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9"/>
              </w:rPr>
              <w:t>Python, R, data products, saved Bayesian traces, exports, and current methodology</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9"/>
              </w:rPr>
              <w:t>Review posture</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9"/>
              </w:rPr>
              <w:t>Read-only audit of model logic; no source or data correction was applied</w:t>
            </w:r>
          </w:p>
        </w:tc>
      </w:tr>
    </w:tbl>
    <w:p>
      <w:pPr>
        <w:spacing w:after="40"/>
      </w:pPr>
    </w:p>
    <w:p>
      <w:pPr>
        <w:keepLines w:val="0"/>
        <w:spacing w:before="560" w:after="120" w:line="264" w:lineRule="auto"/>
        <w:jc w:val="center"/>
      </w:pPr>
      <w:r>
        <w:rPr>
          <w:rFonts w:ascii="Calibri" w:hAnsi="Calibri"/>
          <w:b/>
          <w:i w:val="0"/>
          <w:color w:val="9B1C1C"/>
          <w:sz w:val="22"/>
        </w:rPr>
        <w:t>Bottom line</w:t>
      </w:r>
    </w:p>
    <w:p>
      <w:pPr>
        <w:keepLines w:val="0"/>
        <w:spacing w:before="0" w:after="160" w:line="264" w:lineRule="auto"/>
        <w:jc w:val="center"/>
      </w:pPr>
      <w:r>
        <w:rPr>
          <w:rFonts w:ascii="Calibri" w:hAnsi="Calibri"/>
          <w:b w:val="0"/>
          <w:i w:val="0"/>
          <w:color w:val="172B3A"/>
          <w:sz w:val="22"/>
        </w:rPr>
        <w:t>The repository contains promising and in several places technically careful exploratory modeling, but it is not yet a validated or internally coherent production world model. The current narrative combines results from a stale one-axis four-state model, a newer factorial model, and an unpersisted kinetic/LFO workflow as if they were one reproducible analysis. The decision layer and value-of-information calculation do not yet exist.</w:t>
      </w:r>
    </w:p>
    <w:p>
      <w:r>
        <w:br w:type="page"/>
      </w:r>
    </w:p>
    <w:p>
      <w:pPr>
        <w:pStyle w:val="Heading1"/>
        <w:keepNext/>
        <w:pageBreakBefore w:val="0"/>
      </w:pPr>
      <w:r>
        <w:rPr>
          <w:rFonts w:ascii="Calibri" w:hAnsi="Calibri"/>
          <w:b/>
          <w:color w:val="2E74B5"/>
          <w:sz w:val="32"/>
        </w:rPr>
        <w:t>Contents</w:t>
      </w:r>
    </w:p>
    <w:p>
      <w:pPr>
        <w:numPr>
          <w:ilvl w:val="0"/>
          <w:numId w:val="210"/>
        </w:numPr>
        <w:spacing w:before="0" w:after="160" w:line="280" w:lineRule="auto"/>
      </w:pPr>
      <w:r>
        <w:rPr>
          <w:rFonts w:ascii="Calibri" w:hAnsi="Calibri"/>
        </w:rPr>
        <w:t>Executive assessment</w:t>
      </w:r>
    </w:p>
    <w:p>
      <w:pPr>
        <w:numPr>
          <w:ilvl w:val="0"/>
          <w:numId w:val="210"/>
        </w:numPr>
        <w:spacing w:before="0" w:after="160" w:line="280" w:lineRule="auto"/>
      </w:pPr>
      <w:r>
        <w:rPr>
          <w:rFonts w:ascii="Calibri" w:hAnsi="Calibri"/>
        </w:rPr>
        <w:t>Review scope, standards, and evidence</w:t>
      </w:r>
    </w:p>
    <w:p>
      <w:pPr>
        <w:numPr>
          <w:ilvl w:val="0"/>
          <w:numId w:val="210"/>
        </w:numPr>
        <w:spacing w:before="0" w:after="160" w:line="280" w:lineRule="auto"/>
      </w:pPr>
      <w:r>
        <w:rPr>
          <w:rFonts w:ascii="Calibri" w:hAnsi="Calibri"/>
        </w:rPr>
        <w:t>How the repository arrived at its current state</w:t>
      </w:r>
    </w:p>
    <w:p>
      <w:pPr>
        <w:numPr>
          <w:ilvl w:val="0"/>
          <w:numId w:val="210"/>
        </w:numPr>
        <w:spacing w:before="0" w:after="160" w:line="280" w:lineRule="auto"/>
      </w:pPr>
      <w:r>
        <w:rPr>
          <w:rFonts w:ascii="Calibri" w:hAnsi="Calibri"/>
        </w:rPr>
        <w:t>End-to-end process and mathematical specification</w:t>
      </w:r>
    </w:p>
    <w:p>
      <w:pPr>
        <w:numPr>
          <w:ilvl w:val="0"/>
          <w:numId w:val="210"/>
        </w:numPr>
        <w:spacing w:before="0" w:after="160" w:line="280" w:lineRule="auto"/>
      </w:pPr>
      <w:r>
        <w:rPr>
          <w:rFonts w:ascii="Calibri" w:hAnsi="Calibri"/>
        </w:rPr>
        <w:t>What is working well</w:t>
      </w:r>
    </w:p>
    <w:p>
      <w:pPr>
        <w:numPr>
          <w:ilvl w:val="0"/>
          <w:numId w:val="210"/>
        </w:numPr>
        <w:spacing w:before="0" w:after="160" w:line="280" w:lineRule="auto"/>
      </w:pPr>
      <w:r>
        <w:rPr>
          <w:rFonts w:ascii="Calibri" w:hAnsi="Calibri"/>
        </w:rPr>
        <w:t>Finding register: statistical, logical, and reproducibility flags</w:t>
      </w:r>
    </w:p>
    <w:p>
      <w:pPr>
        <w:numPr>
          <w:ilvl w:val="0"/>
          <w:numId w:val="210"/>
        </w:numPr>
        <w:spacing w:before="0" w:after="160" w:line="280" w:lineRule="auto"/>
      </w:pPr>
      <w:r>
        <w:rPr>
          <w:rFonts w:ascii="Calibri" w:hAnsi="Calibri"/>
        </w:rPr>
        <w:t>Defensible versus currently indefensible conclusions</w:t>
      </w:r>
    </w:p>
    <w:p>
      <w:pPr>
        <w:numPr>
          <w:ilvl w:val="0"/>
          <w:numId w:val="210"/>
        </w:numPr>
        <w:spacing w:before="0" w:after="160" w:line="280" w:lineRule="auto"/>
      </w:pPr>
      <w:r>
        <w:rPr>
          <w:rFonts w:ascii="Calibri" w:hAnsi="Calibri"/>
        </w:rPr>
        <w:t>Recommended next steps and acceptance gates</w:t>
      </w:r>
    </w:p>
    <w:p>
      <w:pPr>
        <w:numPr>
          <w:ilvl w:val="0"/>
          <w:numId w:val="210"/>
        </w:numPr>
        <w:spacing w:before="0" w:after="160" w:line="280" w:lineRule="auto"/>
      </w:pPr>
      <w:r>
        <w:rPr>
          <w:rFonts w:ascii="Calibri" w:hAnsi="Calibri"/>
        </w:rPr>
        <w:t>Appendices: code map, numerical evidence, equations, and references</w:t>
      </w:r>
    </w:p>
    <w:p>
      <w:pPr>
        <w:pStyle w:val="Heading1"/>
        <w:keepNext/>
        <w:pageBreakBefore w:val="0"/>
      </w:pPr>
      <w:r>
        <w:rPr>
          <w:rFonts w:ascii="Calibri" w:hAnsi="Calibri"/>
          <w:b/>
          <w:color w:val="2E74B5"/>
          <w:sz w:val="32"/>
        </w:rPr>
        <w:t>1. Executive assessment</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FF4CE"/>
          </w:tcPr>
          <w:p>
            <w:pPr>
              <w:spacing w:before="40" w:after="40" w:line="264" w:lineRule="auto"/>
            </w:pPr>
            <w:r>
              <w:rPr>
                <w:rFonts w:ascii="Calibri" w:hAnsi="Calibri"/>
                <w:b/>
                <w:color w:val="7A5A00"/>
              </w:rPr>
              <w:t xml:space="preserve">Overall judgment: </w:t>
            </w:r>
            <w:r>
              <w:rPr>
                <w:rFonts w:ascii="Calibri" w:hAnsi="Calibri"/>
                <w:color w:val="000000"/>
              </w:rPr>
              <w:t>Exploratory research prototype with credible components; not yet decision-grade, forecast-validated, or reproducibly integrated.</w:t>
            </w:r>
          </w:p>
        </w:tc>
      </w:tr>
    </w:tbl>
    <w:p>
      <w:pPr>
        <w:spacing w:after="40"/>
      </w:pPr>
    </w:p>
    <w:p>
      <w:pPr>
        <w:keepLines w:val="0"/>
        <w:spacing w:before="0" w:after="120" w:line="264" w:lineRule="auto"/>
      </w:pPr>
      <w:r>
        <w:rPr>
          <w:rFonts w:ascii="Calibri" w:hAnsi="Calibri"/>
          <w:b w:val="0"/>
          <w:i w:val="0"/>
          <w:color w:val="000000"/>
          <w:sz w:val="22"/>
        </w:rPr>
        <w:t>The intended research question is important and well framed: quantify the incremental decision value of remotely sensed information for shellfish-harvest protection when the management trigger is tissue domoic acid (DA) at 20 µg/g. California uses 20 ppm as the action level for shellfish [R8]. The codebase does not yet solve that question. It currently prepares monitoring data and fits several hidden-state ecological models. There are no implemented management actions, loss or reward function, belief-state policy, sensor observation channel, policy solver, or with-information versus without-information comparison.</w:t>
      </w:r>
    </w:p>
    <w:p>
      <w:pPr>
        <w:keepLines w:val="0"/>
        <w:spacing w:before="0" w:after="120" w:line="264" w:lineRule="auto"/>
      </w:pPr>
      <w:r>
        <w:rPr>
          <w:rFonts w:ascii="Calibri" w:hAnsi="Calibri"/>
          <w:b w:val="0"/>
          <w:i w:val="0"/>
          <w:color w:val="000000"/>
          <w:sz w:val="22"/>
        </w:rPr>
        <w:t>The audit found genuine improvements over the earlier repository state: coordinate-based spatial matching, a single-site strategy that avoids pooling obvious site heterogeneity, a hurdle model that removes a severe non-monotone emission pathology, continuous-time transition logic for irregular gaps, correct propagation of a time-varying chain, and a factorial biomass × toxigenic-propensity model. The saved K=4 and K_B=3 × K_Q=2 traces have acceptable rank-normalized R-hat, no divergences, and reasonable effective sample sizes. Those facts support computational convergence of those particular fits; they do not establish ecological adequacy, out-of-sample forecasting skill, or decision validity.</w:t>
      </w:r>
    </w:p>
    <w:p>
      <w:pPr>
        <w:pStyle w:val="Heading2"/>
        <w:keepNext/>
        <w:pageBreakBefore w:val="0"/>
      </w:pPr>
      <w:r>
        <w:rPr>
          <w:rFonts w:ascii="Calibri" w:hAnsi="Calibri"/>
          <w:b/>
          <w:color w:val="2E74B5"/>
          <w:sz w:val="26"/>
        </w:rPr>
        <w:t>1.1 The five most consequential findings</w:t>
      </w:r>
    </w:p>
    <w:tbl>
      <w:tblPr>
        <w:tblStyle w:val="TableGrid"/>
        <w:jc w:val="left"/>
        <w:tblLook w:firstColumn="1" w:firstRow="1" w:lastColumn="0" w:lastRow="0" w:noHBand="0" w:noVBand="1" w:val="04A0"/>
        <w:tblW w:w="9360" w:type="dxa"/>
        <w:tblInd w:w="120" w:type="dxa"/>
        <w:tblLayout w:type="fixed"/>
      </w:tblPr>
      <w:tblGrid>
        <w:gridCol w:w="650"/>
        <w:gridCol w:w="2050"/>
        <w:gridCol w:w="5610"/>
        <w:gridCol w:w="1050"/>
      </w:tblGrid>
      <w:tr>
        <w:trPr>
          <w:tblHeader w:val="true"/>
        </w:trPr>
        <w:tc>
          <w:tcPr>
            <w:tcW w:type="dxa" w:w="650"/>
            <w:shd w:fill="F2F4F7"/>
            <w:tcMar>
              <w:top w:w="80" w:type="dxa"/>
              <w:start w:w="120" w:type="dxa"/>
              <w:bottom w:w="80" w:type="dxa"/>
              <w:end w:w="120" w:type="dxa"/>
            </w:tcMar>
            <w:vAlign w:val="center"/>
          </w:tcPr>
          <w:p>
            <w:pPr>
              <w:spacing w:after="0"/>
            </w:pPr>
            <w:r>
              <w:rPr>
                <w:rFonts w:ascii="Calibri" w:hAnsi="Calibri"/>
                <w:b/>
                <w:color w:val="172B3A"/>
                <w:sz w:val="17"/>
              </w:rPr>
              <w:t>ID</w:t>
            </w:r>
          </w:p>
        </w:tc>
        <w:tc>
          <w:tcPr>
            <w:tcW w:type="dxa" w:w="2050"/>
            <w:shd w:fill="F2F4F7"/>
            <w:tcMar>
              <w:top w:w="80" w:type="dxa"/>
              <w:start w:w="120" w:type="dxa"/>
              <w:bottom w:w="80" w:type="dxa"/>
              <w:end w:w="120" w:type="dxa"/>
            </w:tcMar>
            <w:vAlign w:val="center"/>
          </w:tcPr>
          <w:p>
            <w:pPr>
              <w:spacing w:after="0"/>
            </w:pPr>
            <w:r>
              <w:rPr>
                <w:rFonts w:ascii="Calibri" w:hAnsi="Calibri"/>
                <w:b/>
                <w:color w:val="172B3A"/>
                <w:sz w:val="17"/>
              </w:rPr>
              <w:t>Finding</w:t>
            </w:r>
          </w:p>
        </w:tc>
        <w:tc>
          <w:tcPr>
            <w:tcW w:type="dxa" w:w="5610"/>
            <w:shd w:fill="F2F4F7"/>
            <w:tcMar>
              <w:top w:w="80" w:type="dxa"/>
              <w:start w:w="120" w:type="dxa"/>
              <w:bottom w:w="80" w:type="dxa"/>
              <w:end w:w="120" w:type="dxa"/>
            </w:tcMar>
            <w:vAlign w:val="center"/>
          </w:tcPr>
          <w:p>
            <w:pPr>
              <w:spacing w:after="0"/>
            </w:pPr>
            <w:r>
              <w:rPr>
                <w:rFonts w:ascii="Calibri" w:hAnsi="Calibri"/>
                <w:b/>
                <w:color w:val="172B3A"/>
                <w:sz w:val="17"/>
              </w:rPr>
              <w:t>Evidence</w:t>
            </w:r>
          </w:p>
        </w:tc>
        <w:tc>
          <w:tcPr>
            <w:tcW w:type="dxa" w:w="1050"/>
            <w:shd w:fill="F2F4F7"/>
            <w:tcMar>
              <w:top w:w="80" w:type="dxa"/>
              <w:start w:w="120" w:type="dxa"/>
              <w:bottom w:w="80" w:type="dxa"/>
              <w:end w:w="120" w:type="dxa"/>
            </w:tcMar>
            <w:vAlign w:val="center"/>
          </w:tcPr>
          <w:p>
            <w:pPr>
              <w:spacing w:after="0"/>
            </w:pPr>
            <w:r>
              <w:rPr>
                <w:rFonts w:ascii="Calibri" w:hAnsi="Calibri"/>
                <w:b/>
                <w:color w:val="172B3A"/>
                <w:sz w:val="17"/>
              </w:rPr>
              <w:t>Level</w:t>
            </w:r>
          </w:p>
        </w:tc>
      </w:tr>
      <w:tr>
        <w:tc>
          <w:tcPr>
            <w:tcW w:type="dxa" w:w="650"/>
            <w:tcMar>
              <w:top w:w="80" w:type="dxa"/>
              <w:start w:w="120" w:type="dxa"/>
              <w:bottom w:w="80" w:type="dxa"/>
              <w:end w:w="120" w:type="dxa"/>
            </w:tcMar>
            <w:vAlign w:val="center"/>
          </w:tcPr>
          <w:p>
            <w:pPr>
              <w:spacing w:after="0" w:line="252" w:lineRule="auto"/>
            </w:pPr>
            <w:r>
              <w:rPr>
                <w:rFonts w:ascii="Calibri" w:hAnsi="Calibri"/>
                <w:color w:val="000000"/>
                <w:sz w:val="17"/>
              </w:rPr>
              <w:t>C1</w:t>
            </w:r>
          </w:p>
        </w:tc>
        <w:tc>
          <w:tcPr>
            <w:tcW w:type="dxa" w:w="2050"/>
            <w:tcMar>
              <w:top w:w="80" w:type="dxa"/>
              <w:start w:w="120" w:type="dxa"/>
              <w:bottom w:w="80" w:type="dxa"/>
              <w:end w:w="120" w:type="dxa"/>
            </w:tcMar>
            <w:vAlign w:val="center"/>
          </w:tcPr>
          <w:p>
            <w:pPr>
              <w:spacing w:after="0" w:line="252" w:lineRule="auto"/>
            </w:pPr>
            <w:r>
              <w:rPr>
                <w:rFonts w:ascii="Calibri" w:hAnsi="Calibri"/>
                <w:color w:val="000000"/>
                <w:sz w:val="17"/>
              </w:rPr>
              <w:t>Stale production fits</w:t>
            </w:r>
          </w:p>
        </w:tc>
        <w:tc>
          <w:tcPr>
            <w:tcW w:type="dxa" w:w="5610"/>
            <w:tcMar>
              <w:top w:w="80" w:type="dxa"/>
              <w:start w:w="120" w:type="dxa"/>
              <w:bottom w:w="80" w:type="dxa"/>
              <w:end w:w="120" w:type="dxa"/>
            </w:tcMar>
            <w:vAlign w:val="center"/>
          </w:tcPr>
          <w:p>
            <w:pPr>
              <w:spacing w:after="0" w:line="252" w:lineRule="auto"/>
            </w:pPr>
            <w:r>
              <w:rPr>
                <w:rFonts w:ascii="Calibri" w:hAnsi="Calibri"/>
                <w:color w:val="000000"/>
                <w:sz w:val="17"/>
              </w:rPr>
              <w:t>Current panel has 1,034 SCW observation weeks; stored stationary/seasonal likelihoods have 1,023.</w:t>
            </w:r>
          </w:p>
        </w:tc>
        <w:tc>
          <w:tcPr>
            <w:tcW w:type="dxa" w:w="1050"/>
            <w:tcMar>
              <w:top w:w="80" w:type="dxa"/>
              <w:start w:w="120" w:type="dxa"/>
              <w:bottom w:w="80" w:type="dxa"/>
              <w:end w:w="120" w:type="dxa"/>
            </w:tcMar>
            <w:vAlign w:val="center"/>
          </w:tcPr>
          <w:p>
            <w:pPr>
              <w:spacing w:after="0" w:line="252" w:lineRule="auto"/>
            </w:pPr>
            <w:r>
              <w:rPr>
                <w:rFonts w:ascii="Calibri" w:hAnsi="Calibri"/>
                <w:color w:val="000000"/>
                <w:sz w:val="17"/>
              </w:rPr>
              <w:t>Critical</w:t>
            </w:r>
          </w:p>
        </w:tc>
      </w:tr>
      <w:tr>
        <w:tc>
          <w:tcPr>
            <w:tcW w:type="dxa" w:w="650"/>
            <w:tcMar>
              <w:top w:w="80" w:type="dxa"/>
              <w:start w:w="120" w:type="dxa"/>
              <w:bottom w:w="80" w:type="dxa"/>
              <w:end w:w="120" w:type="dxa"/>
            </w:tcMar>
            <w:vAlign w:val="center"/>
          </w:tcPr>
          <w:p>
            <w:pPr>
              <w:spacing w:after="0" w:line="252" w:lineRule="auto"/>
            </w:pPr>
            <w:r>
              <w:rPr>
                <w:rFonts w:ascii="Calibri" w:hAnsi="Calibri"/>
                <w:color w:val="000000"/>
                <w:sz w:val="17"/>
              </w:rPr>
              <w:t>C2</w:t>
            </w:r>
          </w:p>
        </w:tc>
        <w:tc>
          <w:tcPr>
            <w:tcW w:type="dxa" w:w="2050"/>
            <w:tcMar>
              <w:top w:w="80" w:type="dxa"/>
              <w:start w:w="120" w:type="dxa"/>
              <w:bottom w:w="80" w:type="dxa"/>
              <w:end w:w="120" w:type="dxa"/>
            </w:tcMar>
            <w:vAlign w:val="center"/>
          </w:tcPr>
          <w:p>
            <w:pPr>
              <w:spacing w:after="0" w:line="252" w:lineRule="auto"/>
            </w:pPr>
            <w:r>
              <w:rPr>
                <w:rFonts w:ascii="Calibri" w:hAnsi="Calibri"/>
                <w:color w:val="000000"/>
                <w:sz w:val="17"/>
              </w:rPr>
              <w:t>No single production model</w:t>
            </w:r>
          </w:p>
        </w:tc>
        <w:tc>
          <w:tcPr>
            <w:tcW w:type="dxa" w:w="5610"/>
            <w:tcMar>
              <w:top w:w="80" w:type="dxa"/>
              <w:start w:w="120" w:type="dxa"/>
              <w:bottom w:w="80" w:type="dxa"/>
              <w:end w:w="120" w:type="dxa"/>
            </w:tcMar>
            <w:vAlign w:val="center"/>
          </w:tcPr>
          <w:p>
            <w:pPr>
              <w:spacing w:after="0" w:line="252" w:lineRule="auto"/>
            </w:pPr>
            <w:r>
              <w:rPr>
                <w:rFonts w:ascii="Calibri" w:hAnsi="Calibri"/>
                <w:color w:val="000000"/>
                <w:sz w:val="17"/>
              </w:rPr>
              <w:t>The exported K=4 scalar model, the factorial model, and the kinetic model are separate and incompatible branches.</w:t>
            </w:r>
          </w:p>
        </w:tc>
        <w:tc>
          <w:tcPr>
            <w:tcW w:type="dxa" w:w="1050"/>
            <w:tcMar>
              <w:top w:w="80" w:type="dxa"/>
              <w:start w:w="120" w:type="dxa"/>
              <w:bottom w:w="80" w:type="dxa"/>
              <w:end w:w="120" w:type="dxa"/>
            </w:tcMar>
            <w:vAlign w:val="center"/>
          </w:tcPr>
          <w:p>
            <w:pPr>
              <w:spacing w:after="0" w:line="252" w:lineRule="auto"/>
            </w:pPr>
            <w:r>
              <w:rPr>
                <w:rFonts w:ascii="Calibri" w:hAnsi="Calibri"/>
                <w:color w:val="000000"/>
                <w:sz w:val="17"/>
              </w:rPr>
              <w:t>Critical</w:t>
            </w:r>
          </w:p>
        </w:tc>
      </w:tr>
      <w:tr>
        <w:tc>
          <w:tcPr>
            <w:tcW w:type="dxa" w:w="650"/>
            <w:tcMar>
              <w:top w:w="80" w:type="dxa"/>
              <w:start w:w="120" w:type="dxa"/>
              <w:bottom w:w="80" w:type="dxa"/>
              <w:end w:w="120" w:type="dxa"/>
            </w:tcMar>
            <w:vAlign w:val="center"/>
          </w:tcPr>
          <w:p>
            <w:pPr>
              <w:spacing w:after="0" w:line="252" w:lineRule="auto"/>
            </w:pPr>
            <w:r>
              <w:rPr>
                <w:rFonts w:ascii="Calibri" w:hAnsi="Calibri"/>
                <w:color w:val="000000"/>
                <w:sz w:val="17"/>
              </w:rPr>
              <w:t>C3</w:t>
            </w:r>
          </w:p>
        </w:tc>
        <w:tc>
          <w:tcPr>
            <w:tcW w:type="dxa" w:w="2050"/>
            <w:tcMar>
              <w:top w:w="80" w:type="dxa"/>
              <w:start w:w="120" w:type="dxa"/>
              <w:bottom w:w="80" w:type="dxa"/>
              <w:end w:w="120" w:type="dxa"/>
            </w:tcMar>
            <w:vAlign w:val="center"/>
          </w:tcPr>
          <w:p>
            <w:pPr>
              <w:spacing w:after="0" w:line="252" w:lineRule="auto"/>
            </w:pPr>
            <w:r>
              <w:rPr>
                <w:rFonts w:ascii="Calibri" w:hAnsi="Calibri"/>
                <w:color w:val="000000"/>
                <w:sz w:val="17"/>
              </w:rPr>
              <w:t>LFO not reproducible</w:t>
            </w:r>
          </w:p>
        </w:tc>
        <w:tc>
          <w:tcPr>
            <w:tcW w:type="dxa" w:w="5610"/>
            <w:tcMar>
              <w:top w:w="80" w:type="dxa"/>
              <w:start w:w="120" w:type="dxa"/>
              <w:bottom w:w="80" w:type="dxa"/>
              <w:end w:w="120" w:type="dxa"/>
            </w:tcMar>
            <w:vAlign w:val="center"/>
          </w:tcPr>
          <w:p>
            <w:pPr>
              <w:spacing w:after="0" w:line="252" w:lineRule="auto"/>
            </w:pPr>
            <w:r>
              <w:rPr>
                <w:rFonts w:ascii="Calibri" w:hAnsi="Calibri"/>
                <w:color w:val="000000"/>
                <w:sz w:val="17"/>
              </w:rPr>
              <w:t>LFO is described as completed, but no checked-in runner calls it and no LFO artifact records refits, cutoffs, or diagnostics.</w:t>
            </w:r>
          </w:p>
        </w:tc>
        <w:tc>
          <w:tcPr>
            <w:tcW w:type="dxa" w:w="1050"/>
            <w:tcMar>
              <w:top w:w="80" w:type="dxa"/>
              <w:start w:w="120" w:type="dxa"/>
              <w:bottom w:w="80" w:type="dxa"/>
              <w:end w:w="120" w:type="dxa"/>
            </w:tcMar>
            <w:vAlign w:val="center"/>
          </w:tcPr>
          <w:p>
            <w:pPr>
              <w:spacing w:after="0" w:line="252" w:lineRule="auto"/>
            </w:pPr>
            <w:r>
              <w:rPr>
                <w:rFonts w:ascii="Calibri" w:hAnsi="Calibri"/>
                <w:color w:val="000000"/>
                <w:sz w:val="17"/>
              </w:rPr>
              <w:t>Critical</w:t>
            </w:r>
          </w:p>
        </w:tc>
      </w:tr>
      <w:tr>
        <w:tc>
          <w:tcPr>
            <w:tcW w:type="dxa" w:w="650"/>
            <w:tcMar>
              <w:top w:w="80" w:type="dxa"/>
              <w:start w:w="120" w:type="dxa"/>
              <w:bottom w:w="80" w:type="dxa"/>
              <w:end w:w="120" w:type="dxa"/>
            </w:tcMar>
            <w:vAlign w:val="center"/>
          </w:tcPr>
          <w:p>
            <w:pPr>
              <w:spacing w:after="0" w:line="252" w:lineRule="auto"/>
            </w:pPr>
            <w:r>
              <w:rPr>
                <w:rFonts w:ascii="Calibri" w:hAnsi="Calibri"/>
                <w:color w:val="000000"/>
                <w:sz w:val="17"/>
              </w:rPr>
              <w:t>C4</w:t>
            </w:r>
          </w:p>
        </w:tc>
        <w:tc>
          <w:tcPr>
            <w:tcW w:type="dxa" w:w="2050"/>
            <w:tcMar>
              <w:top w:w="80" w:type="dxa"/>
              <w:start w:w="120" w:type="dxa"/>
              <w:bottom w:w="80" w:type="dxa"/>
              <w:end w:w="120" w:type="dxa"/>
            </w:tcMar>
            <w:vAlign w:val="center"/>
          </w:tcPr>
          <w:p>
            <w:pPr>
              <w:spacing w:after="0" w:line="252" w:lineRule="auto"/>
            </w:pPr>
            <w:r>
              <w:rPr>
                <w:rFonts w:ascii="Calibri" w:hAnsi="Calibri"/>
                <w:color w:val="000000"/>
                <w:sz w:val="17"/>
              </w:rPr>
              <w:t>VoI claims precede a decision model</w:t>
            </w:r>
          </w:p>
        </w:tc>
        <w:tc>
          <w:tcPr>
            <w:tcW w:type="dxa" w:w="5610"/>
            <w:tcMar>
              <w:top w:w="80" w:type="dxa"/>
              <w:start w:w="120" w:type="dxa"/>
              <w:bottom w:w="80" w:type="dxa"/>
              <w:end w:w="120" w:type="dxa"/>
            </w:tcMar>
            <w:vAlign w:val="center"/>
          </w:tcPr>
          <w:p>
            <w:pPr>
              <w:spacing w:after="0" w:line="252" w:lineRule="auto"/>
            </w:pPr>
            <w:r>
              <w:rPr>
                <w:rFonts w:ascii="Calibri" w:hAnsi="Calibri"/>
                <w:color w:val="000000"/>
                <w:sz w:val="17"/>
              </w:rPr>
              <w:t>EVPI and the 'irreducible sensor ceiling' are conditional hypotheses, not computed results.</w:t>
            </w:r>
          </w:p>
        </w:tc>
        <w:tc>
          <w:tcPr>
            <w:tcW w:type="dxa" w:w="1050"/>
            <w:tcMar>
              <w:top w:w="80" w:type="dxa"/>
              <w:start w:w="120" w:type="dxa"/>
              <w:bottom w:w="80" w:type="dxa"/>
              <w:end w:w="120" w:type="dxa"/>
            </w:tcMar>
            <w:vAlign w:val="center"/>
          </w:tcPr>
          <w:p>
            <w:pPr>
              <w:spacing w:after="0" w:line="252" w:lineRule="auto"/>
            </w:pPr>
            <w:r>
              <w:rPr>
                <w:rFonts w:ascii="Calibri" w:hAnsi="Calibri"/>
                <w:color w:val="000000"/>
                <w:sz w:val="17"/>
              </w:rPr>
              <w:t>Critical</w:t>
            </w:r>
          </w:p>
        </w:tc>
      </w:tr>
      <w:tr>
        <w:tc>
          <w:tcPr>
            <w:tcW w:type="dxa" w:w="650"/>
            <w:tcMar>
              <w:top w:w="80" w:type="dxa"/>
              <w:start w:w="120" w:type="dxa"/>
              <w:bottom w:w="80" w:type="dxa"/>
              <w:end w:w="120" w:type="dxa"/>
            </w:tcMar>
            <w:vAlign w:val="center"/>
          </w:tcPr>
          <w:p>
            <w:pPr>
              <w:spacing w:after="0" w:line="252" w:lineRule="auto"/>
            </w:pPr>
            <w:r>
              <w:rPr>
                <w:rFonts w:ascii="Calibri" w:hAnsi="Calibri"/>
                <w:color w:val="000000"/>
                <w:sz w:val="17"/>
              </w:rPr>
              <w:t>C5</w:t>
            </w:r>
          </w:p>
        </w:tc>
        <w:tc>
          <w:tcPr>
            <w:tcW w:type="dxa" w:w="2050"/>
            <w:tcMar>
              <w:top w:w="80" w:type="dxa"/>
              <w:start w:w="120" w:type="dxa"/>
              <w:bottom w:w="80" w:type="dxa"/>
              <w:end w:w="120" w:type="dxa"/>
            </w:tcMar>
            <w:vAlign w:val="center"/>
          </w:tcPr>
          <w:p>
            <w:pPr>
              <w:spacing w:after="0" w:line="252" w:lineRule="auto"/>
            </w:pPr>
            <w:r>
              <w:rPr>
                <w:rFonts w:ascii="Calibri" w:hAnsi="Calibri"/>
                <w:color w:val="000000"/>
                <w:sz w:val="17"/>
              </w:rPr>
              <w:t>Convergence is being treated as validation</w:t>
            </w:r>
          </w:p>
        </w:tc>
        <w:tc>
          <w:tcPr>
            <w:tcW w:type="dxa" w:w="5610"/>
            <w:tcMar>
              <w:top w:w="80" w:type="dxa"/>
              <w:start w:w="120" w:type="dxa"/>
              <w:bottom w:w="80" w:type="dxa"/>
              <w:end w:w="120" w:type="dxa"/>
            </w:tcMar>
            <w:vAlign w:val="center"/>
          </w:tcPr>
          <w:p>
            <w:pPr>
              <w:spacing w:after="0" w:line="252" w:lineRule="auto"/>
            </w:pPr>
            <w:r>
              <w:rPr>
                <w:rFonts w:ascii="Calibri" w:hAnsi="Calibri"/>
                <w:color w:val="000000"/>
                <w:sz w:val="17"/>
              </w:rPr>
              <w:t>There are no posterior predictive checks, calibration tests, blocked forecasts, or external holdouts.</w:t>
            </w:r>
          </w:p>
        </w:tc>
        <w:tc>
          <w:tcPr>
            <w:tcW w:type="dxa" w:w="1050"/>
            <w:tcMar>
              <w:top w:w="80" w:type="dxa"/>
              <w:start w:w="120" w:type="dxa"/>
              <w:bottom w:w="80" w:type="dxa"/>
              <w:end w:w="120" w:type="dxa"/>
            </w:tcMar>
            <w:vAlign w:val="center"/>
          </w:tcPr>
          <w:p>
            <w:pPr>
              <w:spacing w:after="0" w:line="252" w:lineRule="auto"/>
            </w:pPr>
            <w:r>
              <w:rPr>
                <w:rFonts w:ascii="Calibri" w:hAnsi="Calibri"/>
                <w:color w:val="000000"/>
                <w:sz w:val="17"/>
              </w:rPr>
              <w:t>Critical</w:t>
            </w:r>
          </w:p>
        </w:tc>
      </w:tr>
    </w:tbl>
    <w:p>
      <w:pPr>
        <w:spacing w:after="40"/>
      </w:pPr>
    </w:p>
    <w:p>
      <w:pPr>
        <w:pStyle w:val="Heading2"/>
        <w:keepNext/>
        <w:pageBreakBefore w:val="0"/>
      </w:pPr>
      <w:r>
        <w:rPr>
          <w:rFonts w:ascii="Calibri" w:hAnsi="Calibri"/>
          <w:b/>
          <w:color w:val="2E74B5"/>
          <w:sz w:val="26"/>
        </w:rPr>
        <w:t>1.2 Maturity by layer</w:t>
      </w:r>
    </w:p>
    <w:tbl>
      <w:tblPr>
        <w:tblStyle w:val="TableGrid"/>
        <w:jc w:val="left"/>
        <w:tblLook w:firstColumn="1" w:firstRow="1" w:lastColumn="0" w:lastRow="0" w:noHBand="0" w:noVBand="1" w:val="04A0"/>
        <w:tblW w:w="9360" w:type="dxa"/>
        <w:tblInd w:w="120" w:type="dxa"/>
        <w:tblLayout w:type="fixed"/>
      </w:tblPr>
      <w:tblGrid>
        <w:gridCol w:w="1800"/>
        <w:gridCol w:w="1600"/>
        <w:gridCol w:w="5960"/>
      </w:tblGrid>
      <w:tr>
        <w:trPr>
          <w:tblHeader w:val="true"/>
        </w:trPr>
        <w:tc>
          <w:tcPr>
            <w:tcW w:type="dxa" w:w="1800"/>
            <w:shd w:fill="F2F4F7"/>
            <w:tcMar>
              <w:top w:w="80" w:type="dxa"/>
              <w:start w:w="120" w:type="dxa"/>
              <w:bottom w:w="80" w:type="dxa"/>
              <w:end w:w="120" w:type="dxa"/>
            </w:tcMar>
            <w:vAlign w:val="center"/>
          </w:tcPr>
          <w:p>
            <w:pPr>
              <w:spacing w:after="0"/>
            </w:pPr>
            <w:r>
              <w:rPr>
                <w:rFonts w:ascii="Calibri" w:hAnsi="Calibri"/>
                <w:b/>
                <w:color w:val="172B3A"/>
                <w:sz w:val="18"/>
              </w:rPr>
              <w:t>Layer</w:t>
            </w:r>
          </w:p>
        </w:tc>
        <w:tc>
          <w:tcPr>
            <w:tcW w:type="dxa" w:w="1600"/>
            <w:shd w:fill="F2F4F7"/>
            <w:tcMar>
              <w:top w:w="80" w:type="dxa"/>
              <w:start w:w="120" w:type="dxa"/>
              <w:bottom w:w="80" w:type="dxa"/>
              <w:end w:w="120" w:type="dxa"/>
            </w:tcMar>
            <w:vAlign w:val="center"/>
          </w:tcPr>
          <w:p>
            <w:pPr>
              <w:spacing w:after="0"/>
            </w:pPr>
            <w:r>
              <w:rPr>
                <w:rFonts w:ascii="Calibri" w:hAnsi="Calibri"/>
                <w:b/>
                <w:color w:val="172B3A"/>
                <w:sz w:val="18"/>
              </w:rPr>
              <w:t>Status</w:t>
            </w:r>
          </w:p>
        </w:tc>
        <w:tc>
          <w:tcPr>
            <w:tcW w:type="dxa" w:w="5960"/>
            <w:shd w:fill="F2F4F7"/>
            <w:tcMar>
              <w:top w:w="80" w:type="dxa"/>
              <w:start w:w="120" w:type="dxa"/>
              <w:bottom w:w="80" w:type="dxa"/>
              <w:end w:w="120" w:type="dxa"/>
            </w:tcMar>
            <w:vAlign w:val="center"/>
          </w:tcPr>
          <w:p>
            <w:pPr>
              <w:spacing w:after="0"/>
            </w:pPr>
            <w:r>
              <w:rPr>
                <w:rFonts w:ascii="Calibri" w:hAnsi="Calibri"/>
                <w:b/>
                <w:color w:val="172B3A"/>
                <w:sz w:val="18"/>
              </w:rPr>
              <w:t>Assessment</w:t>
            </w:r>
          </w:p>
        </w:tc>
      </w:tr>
      <w:tr>
        <w:tc>
          <w:tcPr>
            <w:tcW w:type="dxa" w:w="1800"/>
            <w:tcMar>
              <w:top w:w="80" w:type="dxa"/>
              <w:start w:w="120" w:type="dxa"/>
              <w:bottom w:w="80" w:type="dxa"/>
              <w:end w:w="120" w:type="dxa"/>
            </w:tcMar>
            <w:vAlign w:val="center"/>
          </w:tcPr>
          <w:p>
            <w:pPr>
              <w:spacing w:after="0" w:line="252" w:lineRule="auto"/>
            </w:pPr>
            <w:r>
              <w:rPr>
                <w:rFonts w:ascii="Calibri" w:hAnsi="Calibri"/>
                <w:color w:val="000000"/>
                <w:sz w:val="18"/>
              </w:rPr>
              <w:t>Data ingestion</w:t>
            </w:r>
          </w:p>
        </w:tc>
        <w:tc>
          <w:tcPr>
            <w:tcW w:type="dxa" w:w="1600"/>
            <w:tcMar>
              <w:top w:w="80" w:type="dxa"/>
              <w:start w:w="120" w:type="dxa"/>
              <w:bottom w:w="80" w:type="dxa"/>
              <w:end w:w="120" w:type="dxa"/>
            </w:tcMar>
            <w:vAlign w:val="center"/>
          </w:tcPr>
          <w:p>
            <w:pPr>
              <w:spacing w:after="0" w:line="252" w:lineRule="auto"/>
            </w:pPr>
            <w:r>
              <w:rPr>
                <w:rFonts w:ascii="Calibri" w:hAnsi="Calibri"/>
                <w:color w:val="000000"/>
                <w:sz w:val="18"/>
              </w:rPr>
              <w:t>Present</w:t>
            </w:r>
          </w:p>
        </w:tc>
        <w:tc>
          <w:tcPr>
            <w:tcW w:type="dxa" w:w="5960"/>
            <w:tcMar>
              <w:top w:w="80" w:type="dxa"/>
              <w:start w:w="120" w:type="dxa"/>
              <w:bottom w:w="80" w:type="dxa"/>
              <w:end w:w="120" w:type="dxa"/>
            </w:tcMar>
            <w:vAlign w:val="center"/>
          </w:tcPr>
          <w:p>
            <w:pPr>
              <w:spacing w:after="0" w:line="252" w:lineRule="auto"/>
            </w:pPr>
            <w:r>
              <w:rPr>
                <w:rFonts w:ascii="Calibri" w:hAnsi="Calibri"/>
                <w:color w:val="000000"/>
                <w:sz w:val="18"/>
              </w:rPr>
              <w:t>Functional, but canonical 3 km/5 km artifacts are inconsistent and aggregation choices need revision.</w:t>
            </w:r>
          </w:p>
        </w:tc>
      </w:tr>
      <w:tr>
        <w:tc>
          <w:tcPr>
            <w:tcW w:type="dxa" w:w="1800"/>
            <w:tcMar>
              <w:top w:w="80" w:type="dxa"/>
              <w:start w:w="120" w:type="dxa"/>
              <w:bottom w:w="80" w:type="dxa"/>
              <w:end w:w="120" w:type="dxa"/>
            </w:tcMar>
            <w:vAlign w:val="center"/>
          </w:tcPr>
          <w:p>
            <w:pPr>
              <w:spacing w:after="0" w:line="252" w:lineRule="auto"/>
            </w:pPr>
            <w:r>
              <w:rPr>
                <w:rFonts w:ascii="Calibri" w:hAnsi="Calibri"/>
                <w:color w:val="000000"/>
                <w:sz w:val="18"/>
              </w:rPr>
              <w:t>Latent dynamics</w:t>
            </w:r>
          </w:p>
        </w:tc>
        <w:tc>
          <w:tcPr>
            <w:tcW w:type="dxa" w:w="1600"/>
            <w:tcMar>
              <w:top w:w="80" w:type="dxa"/>
              <w:start w:w="120" w:type="dxa"/>
              <w:bottom w:w="80" w:type="dxa"/>
              <w:end w:w="120" w:type="dxa"/>
            </w:tcMar>
            <w:vAlign w:val="center"/>
          </w:tcPr>
          <w:p>
            <w:pPr>
              <w:spacing w:after="0" w:line="252" w:lineRule="auto"/>
            </w:pPr>
            <w:r>
              <w:rPr>
                <w:rFonts w:ascii="Calibri" w:hAnsi="Calibri"/>
                <w:color w:val="000000"/>
                <w:sz w:val="18"/>
              </w:rPr>
              <w:t>Multiple candidates</w:t>
            </w:r>
          </w:p>
        </w:tc>
        <w:tc>
          <w:tcPr>
            <w:tcW w:type="dxa" w:w="5960"/>
            <w:tcMar>
              <w:top w:w="80" w:type="dxa"/>
              <w:start w:w="120" w:type="dxa"/>
              <w:bottom w:w="80" w:type="dxa"/>
              <w:end w:w="120" w:type="dxa"/>
            </w:tcMar>
            <w:vAlign w:val="center"/>
          </w:tcPr>
          <w:p>
            <w:pPr>
              <w:spacing w:after="0" w:line="252" w:lineRule="auto"/>
            </w:pPr>
            <w:r>
              <w:rPr>
                <w:rFonts w:ascii="Calibri" w:hAnsi="Calibri"/>
                <w:color w:val="000000"/>
                <w:sz w:val="18"/>
              </w:rPr>
              <w:t>Scalar CT-HMM, seasonal scalar CT-HMM, factorial CT-HMM, and kinetic tissue model are not unified.</w:t>
            </w:r>
          </w:p>
        </w:tc>
      </w:tr>
      <w:tr>
        <w:tc>
          <w:tcPr>
            <w:tcW w:type="dxa" w:w="1800"/>
            <w:tcMar>
              <w:top w:w="80" w:type="dxa"/>
              <w:start w:w="120" w:type="dxa"/>
              <w:bottom w:w="80" w:type="dxa"/>
              <w:end w:w="120" w:type="dxa"/>
            </w:tcMar>
            <w:vAlign w:val="center"/>
          </w:tcPr>
          <w:p>
            <w:pPr>
              <w:spacing w:after="0" w:line="252" w:lineRule="auto"/>
            </w:pPr>
            <w:r>
              <w:rPr>
                <w:rFonts w:ascii="Calibri" w:hAnsi="Calibri"/>
                <w:color w:val="000000"/>
                <w:sz w:val="18"/>
              </w:rPr>
              <w:t>Computation</w:t>
            </w:r>
          </w:p>
        </w:tc>
        <w:tc>
          <w:tcPr>
            <w:tcW w:type="dxa" w:w="1600"/>
            <w:tcMar>
              <w:top w:w="80" w:type="dxa"/>
              <w:start w:w="120" w:type="dxa"/>
              <w:bottom w:w="80" w:type="dxa"/>
              <w:end w:w="120" w:type="dxa"/>
            </w:tcMar>
            <w:vAlign w:val="center"/>
          </w:tcPr>
          <w:p>
            <w:pPr>
              <w:spacing w:after="0" w:line="252" w:lineRule="auto"/>
            </w:pPr>
            <w:r>
              <w:rPr>
                <w:rFonts w:ascii="Calibri" w:hAnsi="Calibri"/>
                <w:color w:val="000000"/>
                <w:sz w:val="18"/>
              </w:rPr>
              <w:t>Partly strong</w:t>
            </w:r>
          </w:p>
        </w:tc>
        <w:tc>
          <w:tcPr>
            <w:tcW w:type="dxa" w:w="5960"/>
            <w:tcMar>
              <w:top w:w="80" w:type="dxa"/>
              <w:start w:w="120" w:type="dxa"/>
              <w:bottom w:w="80" w:type="dxa"/>
              <w:end w:w="120" w:type="dxa"/>
            </w:tcMar>
            <w:vAlign w:val="center"/>
          </w:tcPr>
          <w:p>
            <w:pPr>
              <w:spacing w:after="0" w:line="252" w:lineRule="auto"/>
            </w:pPr>
            <w:r>
              <w:rPr>
                <w:rFonts w:ascii="Calibri" w:hAnsi="Calibri"/>
                <w:color w:val="000000"/>
                <w:sz w:val="18"/>
              </w:rPr>
              <w:t>K=4 and factorial traces mix acceptably; several alternatives do not.</w:t>
            </w:r>
          </w:p>
        </w:tc>
      </w:tr>
      <w:tr>
        <w:tc>
          <w:tcPr>
            <w:tcW w:type="dxa" w:w="1800"/>
            <w:tcMar>
              <w:top w:w="80" w:type="dxa"/>
              <w:start w:w="120" w:type="dxa"/>
              <w:bottom w:w="80" w:type="dxa"/>
              <w:end w:w="120" w:type="dxa"/>
            </w:tcMar>
            <w:vAlign w:val="center"/>
          </w:tcPr>
          <w:p>
            <w:pPr>
              <w:spacing w:after="0" w:line="252" w:lineRule="auto"/>
            </w:pPr>
            <w:r>
              <w:rPr>
                <w:rFonts w:ascii="Calibri" w:hAnsi="Calibri"/>
                <w:color w:val="000000"/>
                <w:sz w:val="18"/>
              </w:rPr>
              <w:t>Model adequacy</w:t>
            </w:r>
          </w:p>
        </w:tc>
        <w:tc>
          <w:tcPr>
            <w:tcW w:type="dxa" w:w="1600"/>
            <w:tcMar>
              <w:top w:w="80" w:type="dxa"/>
              <w:start w:w="120" w:type="dxa"/>
              <w:bottom w:w="80" w:type="dxa"/>
              <w:end w:w="120" w:type="dxa"/>
            </w:tcMar>
            <w:vAlign w:val="center"/>
          </w:tcPr>
          <w:p>
            <w:pPr>
              <w:spacing w:after="0" w:line="252" w:lineRule="auto"/>
            </w:pPr>
            <w:r>
              <w:rPr>
                <w:rFonts w:ascii="Calibri" w:hAnsi="Calibri"/>
                <w:color w:val="000000"/>
                <w:sz w:val="18"/>
              </w:rPr>
              <w:t>Not established</w:t>
            </w:r>
          </w:p>
        </w:tc>
        <w:tc>
          <w:tcPr>
            <w:tcW w:type="dxa" w:w="5960"/>
            <w:tcMar>
              <w:top w:w="80" w:type="dxa"/>
              <w:start w:w="120" w:type="dxa"/>
              <w:bottom w:w="80" w:type="dxa"/>
              <w:end w:w="120" w:type="dxa"/>
            </w:tcMar>
            <w:vAlign w:val="center"/>
          </w:tcPr>
          <w:p>
            <w:pPr>
              <w:spacing w:after="0" w:line="252" w:lineRule="auto"/>
            </w:pPr>
            <w:r>
              <w:rPr>
                <w:rFonts w:ascii="Calibri" w:hAnsi="Calibri"/>
                <w:color w:val="000000"/>
                <w:sz w:val="18"/>
              </w:rPr>
              <w:t>No posterior predictive validation or residual diagnostics.</w:t>
            </w:r>
          </w:p>
        </w:tc>
      </w:tr>
      <w:tr>
        <w:tc>
          <w:tcPr>
            <w:tcW w:type="dxa" w:w="1800"/>
            <w:tcMar>
              <w:top w:w="80" w:type="dxa"/>
              <w:start w:w="120" w:type="dxa"/>
              <w:bottom w:w="80" w:type="dxa"/>
              <w:end w:w="120" w:type="dxa"/>
            </w:tcMar>
            <w:vAlign w:val="center"/>
          </w:tcPr>
          <w:p>
            <w:pPr>
              <w:spacing w:after="0" w:line="252" w:lineRule="auto"/>
            </w:pPr>
            <w:r>
              <w:rPr>
                <w:rFonts w:ascii="Calibri" w:hAnsi="Calibri"/>
                <w:color w:val="000000"/>
                <w:sz w:val="18"/>
              </w:rPr>
              <w:t>Forecast validation</w:t>
            </w:r>
          </w:p>
        </w:tc>
        <w:tc>
          <w:tcPr>
            <w:tcW w:type="dxa" w:w="1600"/>
            <w:tcMar>
              <w:top w:w="80" w:type="dxa"/>
              <w:start w:w="120" w:type="dxa"/>
              <w:bottom w:w="80" w:type="dxa"/>
              <w:end w:w="120" w:type="dxa"/>
            </w:tcMar>
            <w:vAlign w:val="center"/>
          </w:tcPr>
          <w:p>
            <w:pPr>
              <w:spacing w:after="0" w:line="252" w:lineRule="auto"/>
            </w:pPr>
            <w:r>
              <w:rPr>
                <w:rFonts w:ascii="Calibri" w:hAnsi="Calibri"/>
                <w:color w:val="000000"/>
                <w:sz w:val="18"/>
              </w:rPr>
              <w:t>Not reproducible</w:t>
            </w:r>
          </w:p>
        </w:tc>
        <w:tc>
          <w:tcPr>
            <w:tcW w:type="dxa" w:w="5960"/>
            <w:tcMar>
              <w:top w:w="80" w:type="dxa"/>
              <w:start w:w="120" w:type="dxa"/>
              <w:bottom w:w="80" w:type="dxa"/>
              <w:end w:w="120" w:type="dxa"/>
            </w:tcMar>
            <w:vAlign w:val="center"/>
          </w:tcPr>
          <w:p>
            <w:pPr>
              <w:spacing w:after="0" w:line="252" w:lineRule="auto"/>
            </w:pPr>
            <w:r>
              <w:rPr>
                <w:rFonts w:ascii="Calibri" w:hAnsi="Calibri"/>
                <w:color w:val="000000"/>
                <w:sz w:val="18"/>
              </w:rPr>
              <w:t>Ordinary PSIS-LOO remains in production scripts; reported LFO has no executable workflow.</w:t>
            </w:r>
          </w:p>
        </w:tc>
      </w:tr>
      <w:tr>
        <w:tc>
          <w:tcPr>
            <w:tcW w:type="dxa" w:w="1800"/>
            <w:tcMar>
              <w:top w:w="80" w:type="dxa"/>
              <w:start w:w="120" w:type="dxa"/>
              <w:bottom w:w="80" w:type="dxa"/>
              <w:end w:w="120" w:type="dxa"/>
            </w:tcMar>
            <w:vAlign w:val="center"/>
          </w:tcPr>
          <w:p>
            <w:pPr>
              <w:spacing w:after="0" w:line="252" w:lineRule="auto"/>
            </w:pPr>
            <w:r>
              <w:rPr>
                <w:rFonts w:ascii="Calibri" w:hAnsi="Calibri"/>
                <w:color w:val="000000"/>
                <w:sz w:val="18"/>
              </w:rPr>
              <w:t>Remote observation model</w:t>
            </w:r>
          </w:p>
        </w:tc>
        <w:tc>
          <w:tcPr>
            <w:tcW w:type="dxa" w:w="1600"/>
            <w:tcMar>
              <w:top w:w="80" w:type="dxa"/>
              <w:start w:w="120" w:type="dxa"/>
              <w:bottom w:w="80" w:type="dxa"/>
              <w:end w:w="120" w:type="dxa"/>
            </w:tcMar>
            <w:vAlign w:val="center"/>
          </w:tcPr>
          <w:p>
            <w:pPr>
              <w:spacing w:after="0" w:line="252" w:lineRule="auto"/>
            </w:pPr>
            <w:r>
              <w:rPr>
                <w:rFonts w:ascii="Calibri" w:hAnsi="Calibri"/>
                <w:color w:val="000000"/>
                <w:sz w:val="18"/>
              </w:rPr>
              <w:t>Absent</w:t>
            </w:r>
          </w:p>
        </w:tc>
        <w:tc>
          <w:tcPr>
            <w:tcW w:type="dxa" w:w="5960"/>
            <w:tcMar>
              <w:top w:w="80" w:type="dxa"/>
              <w:start w:w="120" w:type="dxa"/>
              <w:bottom w:w="80" w:type="dxa"/>
              <w:end w:w="120" w:type="dxa"/>
            </w:tcMar>
            <w:vAlign w:val="center"/>
          </w:tcPr>
          <w:p>
            <w:pPr>
              <w:spacing w:after="0" w:line="252" w:lineRule="auto"/>
            </w:pPr>
            <w:r>
              <w:rPr>
                <w:rFonts w:ascii="Calibri" w:hAnsi="Calibri"/>
                <w:color w:val="000000"/>
                <w:sz w:val="18"/>
              </w:rPr>
              <w:t>No calibrated P(C-HARM output | latent state).</w:t>
            </w:r>
          </w:p>
        </w:tc>
      </w:tr>
      <w:tr>
        <w:tc>
          <w:tcPr>
            <w:tcW w:type="dxa" w:w="1800"/>
            <w:tcMar>
              <w:top w:w="80" w:type="dxa"/>
              <w:start w:w="120" w:type="dxa"/>
              <w:bottom w:w="80" w:type="dxa"/>
              <w:end w:w="120" w:type="dxa"/>
            </w:tcMar>
            <w:vAlign w:val="center"/>
          </w:tcPr>
          <w:p>
            <w:pPr>
              <w:spacing w:after="0" w:line="252" w:lineRule="auto"/>
            </w:pPr>
            <w:r>
              <w:rPr>
                <w:rFonts w:ascii="Calibri" w:hAnsi="Calibri"/>
                <w:color w:val="000000"/>
                <w:sz w:val="18"/>
              </w:rPr>
              <w:t>Decision model / VoI</w:t>
            </w:r>
          </w:p>
        </w:tc>
        <w:tc>
          <w:tcPr>
            <w:tcW w:type="dxa" w:w="1600"/>
            <w:tcMar>
              <w:top w:w="80" w:type="dxa"/>
              <w:start w:w="120" w:type="dxa"/>
              <w:bottom w:w="80" w:type="dxa"/>
              <w:end w:w="120" w:type="dxa"/>
            </w:tcMar>
            <w:vAlign w:val="center"/>
          </w:tcPr>
          <w:p>
            <w:pPr>
              <w:spacing w:after="0" w:line="252" w:lineRule="auto"/>
            </w:pPr>
            <w:r>
              <w:rPr>
                <w:rFonts w:ascii="Calibri" w:hAnsi="Calibri"/>
                <w:color w:val="000000"/>
                <w:sz w:val="18"/>
              </w:rPr>
              <w:t>Absent</w:t>
            </w:r>
          </w:p>
        </w:tc>
        <w:tc>
          <w:tcPr>
            <w:tcW w:type="dxa" w:w="5960"/>
            <w:tcMar>
              <w:top w:w="80" w:type="dxa"/>
              <w:start w:w="120" w:type="dxa"/>
              <w:bottom w:w="80" w:type="dxa"/>
              <w:end w:w="120" w:type="dxa"/>
            </w:tcMar>
            <w:vAlign w:val="center"/>
          </w:tcPr>
          <w:p>
            <w:pPr>
              <w:spacing w:after="0" w:line="252" w:lineRule="auto"/>
            </w:pPr>
            <w:r>
              <w:rPr>
                <w:rFonts w:ascii="Calibri" w:hAnsi="Calibri"/>
                <w:color w:val="000000"/>
                <w:sz w:val="18"/>
              </w:rPr>
              <w:t>No actions, rewards, policy, solver, or nested monitoring comparison.</w:t>
            </w:r>
          </w:p>
        </w:tc>
      </w:tr>
    </w:tbl>
    <w:p>
      <w:pPr>
        <w:spacing w:after="40"/>
      </w:pPr>
    </w:p>
    <w:p>
      <w:pPr>
        <w:pStyle w:val="Heading1"/>
        <w:keepNext/>
        <w:pageBreakBefore w:val="0"/>
      </w:pPr>
      <w:r>
        <w:rPr>
          <w:rFonts w:ascii="Calibri" w:hAnsi="Calibri"/>
          <w:b/>
          <w:color w:val="2E74B5"/>
          <w:sz w:val="32"/>
        </w:rPr>
        <w:t>2. Review scope, standards, and evidence</w:t>
      </w:r>
    </w:p>
    <w:p>
      <w:pPr>
        <w:keepLines w:val="0"/>
        <w:spacing w:before="0" w:after="120" w:line="264" w:lineRule="auto"/>
      </w:pPr>
      <w:r>
        <w:rPr>
          <w:rFonts w:ascii="Calibri" w:hAnsi="Calibri"/>
          <w:b w:val="0"/>
          <w:i w:val="0"/>
          <w:color w:val="000000"/>
          <w:sz w:val="22"/>
        </w:rPr>
        <w:t>This review inspected every current Python and R source module, the pipeline entry points, the current README and methodology, git history and working-tree changes, the relevant interim data, all saved NetCDF Bayesian traces, model-selection CSVs, and NPZ exports. The expensive models were not re-fit. Read-only probes reconstructed data counts, loaded every trace, recomputed R-hat/ESS/LOO diagnostics, checked file chronology and hashes, and compared saved likelihood dimensions with the panel the current code would read.</w:t>
      </w:r>
    </w:p>
    <w:p>
      <w:pPr>
        <w:keepLines w:val="0"/>
        <w:spacing w:before="0" w:after="120" w:line="264" w:lineRule="auto"/>
      </w:pPr>
      <w:r>
        <w:rPr>
          <w:rFonts w:ascii="Calibri" w:hAnsi="Calibri"/>
          <w:b w:val="0"/>
          <w:i w:val="0"/>
          <w:color w:val="000000"/>
          <w:sz w:val="22"/>
        </w:rPr>
        <w:t>The audit applies three separate standards that the repository currently tends to collapse:</w:t>
      </w:r>
    </w:p>
    <w:p>
      <w:pPr>
        <w:numPr>
          <w:ilvl w:val="0"/>
          <w:numId w:val="210"/>
        </w:numPr>
        <w:spacing w:before="0" w:after="160" w:line="280" w:lineRule="auto"/>
      </w:pPr>
      <w:r>
        <w:rPr>
          <w:rFonts w:ascii="Calibri" w:hAnsi="Calibri"/>
          <w:b/>
        </w:rPr>
        <w:t>Computational validity:</w:t>
      </w:r>
      <w:r>
        <w:rPr>
          <w:rFonts w:ascii="Calibri" w:hAnsi="Calibri"/>
        </w:rPr>
        <w:t xml:space="preserve"> the algorithm evaluates the intended likelihood and the sampler explored a stable posterior.</w:t>
      </w:r>
    </w:p>
    <w:p>
      <w:pPr>
        <w:numPr>
          <w:ilvl w:val="0"/>
          <w:numId w:val="210"/>
        </w:numPr>
        <w:spacing w:before="0" w:after="160" w:line="280" w:lineRule="auto"/>
      </w:pPr>
      <w:r>
        <w:rPr>
          <w:rFonts w:ascii="Calibri" w:hAnsi="Calibri"/>
          <w:b/>
        </w:rPr>
        <w:t>Statistical validity:</w:t>
      </w:r>
      <w:r>
        <w:rPr>
          <w:rFonts w:ascii="Calibri" w:hAnsi="Calibri"/>
        </w:rPr>
        <w:t xml:space="preserve"> the model is identified, calibrated, and predictively adequate for the stated target.</w:t>
      </w:r>
    </w:p>
    <w:p>
      <w:pPr>
        <w:numPr>
          <w:ilvl w:val="0"/>
          <w:numId w:val="210"/>
        </w:numPr>
        <w:spacing w:before="0" w:after="160" w:line="280" w:lineRule="auto"/>
      </w:pPr>
      <w:r>
        <w:rPr>
          <w:rFonts w:ascii="Calibri" w:hAnsi="Calibri"/>
          <w:b/>
        </w:rPr>
        <w:t>Decision validity:</w:t>
      </w:r>
      <w:r>
        <w:rPr>
          <w:rFonts w:ascii="Calibri" w:hAnsi="Calibri"/>
        </w:rPr>
        <w:t xml:space="preserve"> the observation, transition, timing, action, and loss models correspond to the real management problem.</w:t>
      </w:r>
    </w:p>
    <w:p>
      <w:pPr>
        <w:keepLines w:val="0"/>
        <w:spacing w:before="0" w:after="120" w:line="264" w:lineRule="auto"/>
      </w:pPr>
      <w:r>
        <w:rPr>
          <w:rFonts w:ascii="Calibri" w:hAnsi="Calibri"/>
          <w:b w:val="0"/>
          <w:i w:val="0"/>
          <w:color w:val="000000"/>
          <w:sz w:val="22"/>
        </w:rPr>
        <w:t>Rank-normalized R-hat and effective sample size address the first standard, not the second or third [R4]. Bayesian workflow requires prior and posterior predictive checking, sensitivity analysis, and validation in addition to convergence [R5]. HMM state-count selection is especially vulnerable to adding states that absorb misspecification rather than represent meaningful regimes [R6].</w:t>
      </w:r>
    </w:p>
    <w:p>
      <w:pPr>
        <w:pStyle w:val="Heading2"/>
        <w:keepNext/>
        <w:pageBreakBefore w:val="0"/>
      </w:pPr>
      <w:r>
        <w:rPr>
          <w:rFonts w:ascii="Calibri" w:hAnsi="Calibri"/>
          <w:b/>
          <w:color w:val="2E74B5"/>
          <w:sz w:val="26"/>
        </w:rPr>
        <w:t>2.1 Snapshot evidence</w:t>
      </w:r>
    </w:p>
    <w:tbl>
      <w:tblPr>
        <w:tblStyle w:val="TableGrid"/>
        <w:jc w:val="left"/>
        <w:tblLook w:firstColumn="1" w:firstRow="1" w:lastColumn="0" w:lastRow="0" w:noHBand="0" w:noVBand="1" w:val="04A0"/>
        <w:tblW w:w="9360" w:type="dxa"/>
        <w:tblInd w:w="120" w:type="dxa"/>
        <w:tblLayout w:type="fixed"/>
      </w:tblPr>
      <w:tblGrid>
        <w:gridCol w:w="2100"/>
        <w:gridCol w:w="3860"/>
        <w:gridCol w:w="3400"/>
      </w:tblGrid>
      <w:tr>
        <w:trPr>
          <w:tblHeader w:val="true"/>
        </w:trPr>
        <w:tc>
          <w:tcPr>
            <w:tcW w:type="dxa" w:w="2100"/>
            <w:shd w:fill="F2F4F7"/>
            <w:tcMar>
              <w:top w:w="80" w:type="dxa"/>
              <w:start w:w="120" w:type="dxa"/>
              <w:bottom w:w="80" w:type="dxa"/>
              <w:end w:w="120" w:type="dxa"/>
            </w:tcMar>
            <w:vAlign w:val="center"/>
          </w:tcPr>
          <w:p>
            <w:pPr>
              <w:spacing w:after="0"/>
            </w:pPr>
            <w:r>
              <w:rPr>
                <w:rFonts w:ascii="Calibri" w:hAnsi="Calibri"/>
                <w:b/>
                <w:color w:val="172B3A"/>
                <w:sz w:val="17"/>
              </w:rPr>
              <w:t>Artifact</w:t>
            </w:r>
          </w:p>
        </w:tc>
        <w:tc>
          <w:tcPr>
            <w:tcW w:type="dxa" w:w="3860"/>
            <w:shd w:fill="F2F4F7"/>
            <w:tcMar>
              <w:top w:w="80" w:type="dxa"/>
              <w:start w:w="120" w:type="dxa"/>
              <w:bottom w:w="80" w:type="dxa"/>
              <w:end w:w="120" w:type="dxa"/>
            </w:tcMar>
            <w:vAlign w:val="center"/>
          </w:tcPr>
          <w:p>
            <w:pPr>
              <w:spacing w:after="0"/>
            </w:pPr>
            <w:r>
              <w:rPr>
                <w:rFonts w:ascii="Calibri" w:hAnsi="Calibri"/>
                <w:b/>
                <w:color w:val="172B3A"/>
                <w:sz w:val="17"/>
              </w:rPr>
              <w:t>Observed snapshot fact</w:t>
            </w:r>
          </w:p>
        </w:tc>
        <w:tc>
          <w:tcPr>
            <w:tcW w:type="dxa" w:w="3400"/>
            <w:shd w:fill="F2F4F7"/>
            <w:tcMar>
              <w:top w:w="80" w:type="dxa"/>
              <w:start w:w="120" w:type="dxa"/>
              <w:bottom w:w="80" w:type="dxa"/>
              <w:end w:w="120" w:type="dxa"/>
            </w:tcMar>
            <w:vAlign w:val="center"/>
          </w:tcPr>
          <w:p>
            <w:pPr>
              <w:spacing w:after="0"/>
            </w:pPr>
            <w:r>
              <w:rPr>
                <w:rFonts w:ascii="Calibri" w:hAnsi="Calibri"/>
                <w:b/>
                <w:color w:val="172B3A"/>
                <w:sz w:val="17"/>
              </w:rPr>
              <w:t>Implication</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joint_panel.csv</w:t>
            </w:r>
          </w:p>
        </w:tc>
        <w:tc>
          <w:tcPr>
            <w:tcW w:type="dxa" w:w="3860"/>
            <w:tcMar>
              <w:top w:w="80" w:type="dxa"/>
              <w:start w:w="120" w:type="dxa"/>
              <w:bottom w:w="80" w:type="dxa"/>
              <w:end w:w="120" w:type="dxa"/>
            </w:tcMar>
            <w:vAlign w:val="center"/>
          </w:tcPr>
          <w:p>
            <w:pPr>
              <w:spacing w:after="0" w:line="252" w:lineRule="auto"/>
            </w:pPr>
            <w:r>
              <w:rPr>
                <w:rFonts w:ascii="Calibri" w:hAnsi="Calibri"/>
                <w:color w:val="000000"/>
                <w:sz w:val="17"/>
              </w:rPr>
              <w:t>Written 21:19; SHA-256 starts a83e5bda; current SCW union = 1,034 weeks</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7"/>
              </w:rPr>
              <w:t>Current analysis input</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worldmodel_K4.nc</w:t>
            </w:r>
          </w:p>
        </w:tc>
        <w:tc>
          <w:tcPr>
            <w:tcW w:type="dxa" w:w="3860"/>
            <w:tcMar>
              <w:top w:w="80" w:type="dxa"/>
              <w:start w:w="120" w:type="dxa"/>
              <w:bottom w:w="80" w:type="dxa"/>
              <w:end w:w="120" w:type="dxa"/>
            </w:tcMar>
            <w:vAlign w:val="center"/>
          </w:tcPr>
          <w:p>
            <w:pPr>
              <w:spacing w:after="0" w:line="252" w:lineRule="auto"/>
            </w:pPr>
            <w:r>
              <w:rPr>
                <w:rFonts w:ascii="Calibri" w:hAnsi="Calibri"/>
                <w:color w:val="000000"/>
                <w:sz w:val="17"/>
              </w:rPr>
              <w:t>Written 15:59; 1,023 stored observation factors</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7"/>
              </w:rPr>
              <w:t>Predates current panel</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seasonal_K4_H1.nc</w:t>
            </w:r>
          </w:p>
        </w:tc>
        <w:tc>
          <w:tcPr>
            <w:tcW w:type="dxa" w:w="3860"/>
            <w:tcMar>
              <w:top w:w="80" w:type="dxa"/>
              <w:start w:w="120" w:type="dxa"/>
              <w:bottom w:w="80" w:type="dxa"/>
              <w:end w:w="120" w:type="dxa"/>
            </w:tcMar>
            <w:vAlign w:val="center"/>
          </w:tcPr>
          <w:p>
            <w:pPr>
              <w:spacing w:after="0" w:line="252" w:lineRule="auto"/>
            </w:pPr>
            <w:r>
              <w:rPr>
                <w:rFonts w:ascii="Calibri" w:hAnsi="Calibri"/>
                <w:color w:val="000000"/>
                <w:sz w:val="17"/>
              </w:rPr>
              <w:t>Written 16:04; 1,023 stored observation factors</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7"/>
              </w:rPr>
              <w:t>Predates current panel</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bq_cont_K3x2.nc</w:t>
            </w:r>
          </w:p>
        </w:tc>
        <w:tc>
          <w:tcPr>
            <w:tcW w:type="dxa" w:w="3860"/>
            <w:tcMar>
              <w:top w:w="80" w:type="dxa"/>
              <w:start w:w="120" w:type="dxa"/>
              <w:bottom w:w="80" w:type="dxa"/>
              <w:end w:w="120" w:type="dxa"/>
            </w:tcMar>
            <w:vAlign w:val="center"/>
          </w:tcPr>
          <w:p>
            <w:pPr>
              <w:spacing w:after="0" w:line="252" w:lineRule="auto"/>
            </w:pPr>
            <w:r>
              <w:rPr>
                <w:rFonts w:ascii="Calibri" w:hAnsi="Calibri"/>
                <w:color w:val="000000"/>
                <w:sz w:val="17"/>
              </w:rPr>
              <w:t>Written 22:51; no log_likelihood or provenance attributes</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7"/>
              </w:rPr>
              <w:t>Newer, but data/config cannot be proven from artifact</w:t>
            </w:r>
          </w:p>
        </w:tc>
      </w:tr>
      <w:t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toxicity_panel.csv</w:t>
            </w:r>
          </w:p>
        </w:tc>
        <w:tc>
          <w:tcPr>
            <w:tcW w:type="dxa" w:w="3860"/>
            <w:tcMar>
              <w:top w:w="80" w:type="dxa"/>
              <w:start w:w="120" w:type="dxa"/>
              <w:bottom w:w="80" w:type="dxa"/>
              <w:end w:w="120" w:type="dxa"/>
            </w:tcMar>
            <w:vAlign w:val="center"/>
          </w:tcPr>
          <w:p>
            <w:pPr>
              <w:spacing w:after="0" w:line="252" w:lineRule="auto"/>
            </w:pPr>
            <w:r>
              <w:rPr>
                <w:rFonts w:ascii="Calibri" w:hAnsi="Calibri"/>
                <w:color w:val="000000"/>
                <w:sz w:val="17"/>
              </w:rPr>
              <w:t>1,110 rows and four sites; unchanged from commit 1c1a644</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7"/>
              </w:rPr>
              <w:t>R msm fits use the old exact-name panel</w:t>
            </w:r>
          </w:p>
        </w:tc>
      </w:tr>
    </w:tbl>
    <w:p>
      <w:pPr>
        <w:spacing w:after="40"/>
      </w:pPr>
    </w:p>
    <w:p>
      <w:pPr>
        <w:spacing w:before="40" w:after="140" w:line="252" w:lineRule="auto"/>
        <w:ind w:left="259" w:right="144"/>
        <w:shd w:fill="F7F8FA"/>
      </w:pPr>
      <w:r>
        <w:rPr>
          <w:rFonts w:ascii="Calibri" w:hAnsi="Calibri"/>
          <w:b/>
          <w:color w:val="5B6770"/>
          <w:sz w:val="18"/>
        </w:rPr>
        <w:t xml:space="preserve">Repository evidence — </w:t>
      </w:r>
      <w:r>
        <w:rPr>
          <w:rFonts w:ascii="Courier New" w:hAnsi="Courier New"/>
          <w:color w:val="000000"/>
          <w:sz w:val="18"/>
        </w:rPr>
        <w:t>Current build_sequences(panel, sites=['SCW']) returns n=1,034. data/output/worldmodel_K4.nc and seasonal_K4_H1.nc each store log_likelihood['obs'] with n=1,023.</w:t>
      </w:r>
    </w:p>
    <w:p>
      <w:pPr>
        <w:pStyle w:val="Heading2"/>
        <w:keepNext/>
        <w:pageBreakBefore w:val="0"/>
      </w:pPr>
      <w:r>
        <w:rPr>
          <w:rFonts w:ascii="Calibri" w:hAnsi="Calibri"/>
          <w:b/>
          <w:color w:val="2E74B5"/>
          <w:sz w:val="26"/>
        </w:rPr>
        <w:t>2.2 Finding labels</w:t>
      </w:r>
    </w:p>
    <w:p>
      <w:pPr>
        <w:numPr>
          <w:ilvl w:val="0"/>
          <w:numId w:val="210"/>
        </w:numPr>
        <w:spacing w:before="0" w:after="160" w:line="280" w:lineRule="auto"/>
      </w:pPr>
      <w:r>
        <w:rPr>
          <w:rFonts w:ascii="Calibri" w:hAnsi="Calibri"/>
          <w:b/>
        </w:rPr>
        <w:t>Confirmed defect</w:t>
      </w:r>
      <w:r>
        <w:rPr>
          <w:rFonts w:ascii="Calibri" w:hAnsi="Calibri"/>
        </w:rPr>
        <w:t xml:space="preserve"> — code, artifact, or documentation is internally inconsistent.</w:t>
      </w:r>
    </w:p>
    <w:p>
      <w:pPr>
        <w:numPr>
          <w:ilvl w:val="0"/>
          <w:numId w:val="210"/>
        </w:numPr>
        <w:spacing w:before="0" w:after="160" w:line="280" w:lineRule="auto"/>
      </w:pPr>
      <w:r>
        <w:rPr>
          <w:rFonts w:ascii="Calibri" w:hAnsi="Calibri"/>
          <w:b/>
        </w:rPr>
        <w:t>Unsupported inference</w:t>
      </w:r>
      <w:r>
        <w:rPr>
          <w:rFonts w:ascii="Calibri" w:hAnsi="Calibri"/>
        </w:rPr>
        <w:t xml:space="preserve"> — the calculation may be correct, but the stated conclusion exceeds it.</w:t>
      </w:r>
    </w:p>
    <w:p>
      <w:pPr>
        <w:numPr>
          <w:ilvl w:val="0"/>
          <w:numId w:val="210"/>
        </w:numPr>
        <w:spacing w:before="0" w:after="160" w:line="280" w:lineRule="auto"/>
      </w:pPr>
      <w:r>
        <w:rPr>
          <w:rFonts w:ascii="Calibri" w:hAnsi="Calibri"/>
          <w:b/>
        </w:rPr>
        <w:t>Modeling assumption</w:t>
      </w:r>
      <w:r>
        <w:rPr>
          <w:rFonts w:ascii="Calibri" w:hAnsi="Calibri"/>
        </w:rPr>
        <w:t xml:space="preserve"> — potentially reasonable, but requires explicit justification and sensitivity analysis.</w:t>
      </w:r>
    </w:p>
    <w:p>
      <w:pPr>
        <w:numPr>
          <w:ilvl w:val="0"/>
          <w:numId w:val="210"/>
        </w:numPr>
        <w:spacing w:before="0" w:after="160" w:line="280" w:lineRule="auto"/>
      </w:pPr>
      <w:r>
        <w:rPr>
          <w:rFonts w:ascii="Calibri" w:hAnsi="Calibri"/>
          <w:b/>
        </w:rPr>
        <w:t>Reproducibility gap</w:t>
      </w:r>
      <w:r>
        <w:rPr>
          <w:rFonts w:ascii="Calibri" w:hAnsi="Calibri"/>
        </w:rPr>
        <w:t xml:space="preserve"> — a claim cannot be independently regenerated from the repository.</w:t>
      </w:r>
    </w:p>
    <w:p>
      <w:pPr>
        <w:pStyle w:val="Heading1"/>
        <w:keepNext/>
        <w:pageBreakBefore w:val="0"/>
      </w:pPr>
      <w:r>
        <w:rPr>
          <w:rFonts w:ascii="Calibri" w:hAnsi="Calibri"/>
          <w:b/>
          <w:color w:val="2E74B5"/>
          <w:sz w:val="32"/>
        </w:rPr>
        <w:t>3. How the repository arrived here</w:t>
      </w:r>
    </w:p>
    <w:p>
      <w:pPr>
        <w:keepLines w:val="0"/>
        <w:spacing w:before="0" w:after="120" w:line="264" w:lineRule="auto"/>
      </w:pPr>
      <w:r>
        <w:rPr>
          <w:rFonts w:ascii="Calibri" w:hAnsi="Calibri"/>
          <w:b w:val="0"/>
          <w:i w:val="0"/>
          <w:color w:val="000000"/>
          <w:sz w:val="22"/>
        </w:rPr>
        <w:t>The following reconstruction is based on the checked-in commit history, the current git diff, file modification times, and artifact contents. It is an audit chronology, not a claim about author intent.</w:t>
      </w:r>
    </w:p>
    <w:p>
      <w:pPr>
        <w:spacing w:before="0" w:after="140" w:line="264" w:lineRule="auto"/>
      </w:pPr>
      <w:r>
        <w:rPr>
          <w:rFonts w:ascii="Calibri" w:hAnsi="Calibri"/>
          <w:b/>
          <w:color w:val="1F4D78"/>
        </w:rPr>
        <w:t xml:space="preserve">Initial site-selection stage. </w:t>
      </w:r>
      <w:r>
        <w:rPr>
          <w:rFonts w:ascii="Calibri" w:hAnsi="Calibri"/>
        </w:rPr>
        <w:t>The earliest commits map calHABMAP coverage and match dates/locations for site selection.</w:t>
      </w:r>
    </w:p>
    <w:p>
      <w:pPr>
        <w:spacing w:before="0" w:after="140" w:line="264" w:lineRule="auto"/>
      </w:pPr>
      <w:r>
        <w:rPr>
          <w:rFonts w:ascii="Calibri" w:hAnsi="Calibri"/>
          <w:b/>
          <w:color w:val="1F4D78"/>
        </w:rPr>
        <w:t xml:space="preserve">21 July: restructuring. </w:t>
      </w:r>
      <w:r>
        <w:rPr>
          <w:rFonts w:ascii="Calibri" w:hAnsi="Calibri"/>
        </w:rPr>
        <w:t>Commit 1c1a644 adds the Arcieri reference material, CDPH tissue ingestion, weekly panels, and a tissue-only R msm scan.</w:t>
      </w:r>
    </w:p>
    <w:p>
      <w:pPr>
        <w:spacing w:before="0" w:after="140" w:line="264" w:lineRule="auto"/>
      </w:pPr>
      <w:r>
        <w:rPr>
          <w:rFonts w:ascii="Calibri" w:hAnsi="Calibri"/>
          <w:b/>
          <w:color w:val="1F4D78"/>
        </w:rPr>
        <w:t xml:space="preserve">Early scalar HMM. </w:t>
      </w:r>
      <w:r>
        <w:rPr>
          <w:rFonts w:ascii="Calibri" w:hAnsi="Calibri"/>
        </w:rPr>
        <w:t>A pooled continuous-time HMM uses one ordered severity state, cell-count emissions, and three tissue categories.</w:t>
      </w:r>
    </w:p>
    <w:p>
      <w:pPr>
        <w:spacing w:before="0" w:after="140" w:line="264" w:lineRule="auto"/>
      </w:pPr>
      <w:r>
        <w:rPr>
          <w:rFonts w:ascii="Calibri" w:hAnsi="Calibri"/>
          <w:b/>
          <w:color w:val="1F4D78"/>
        </w:rPr>
        <w:t xml:space="preserve">Review-driven corrections. </w:t>
      </w:r>
      <w:r>
        <w:rPr>
          <w:rFonts w:ascii="Calibri" w:hAnsi="Calibri"/>
        </w:rPr>
        <w:t>The worktree replaces exact-name tissue joins with coordinate matching; restricts the main model to Santa Cruz; changes the cell channel from a per-state-variance tobit to a hurdle with shared variance; prevents unconverged K values from being ranked.</w:t>
      </w:r>
    </w:p>
    <w:p>
      <w:pPr>
        <w:spacing w:before="0" w:after="140" w:line="264" w:lineRule="auto"/>
      </w:pPr>
      <w:r>
        <w:rPr>
          <w:rFonts w:ascii="Calibri" w:hAnsi="Calibri"/>
          <w:b/>
          <w:color w:val="1F4D78"/>
        </w:rPr>
        <w:t xml:space="preserve">22 July, 15:59–16:06. </w:t>
      </w:r>
      <w:r>
        <w:rPr>
          <w:rFonts w:ascii="Calibri" w:hAnsi="Calibri"/>
        </w:rPr>
        <w:t>The stationary K=2–5 traces, K=4 export, seasonal K=4 trace/export, and seasonal figures are generated on a 1,023-week SCW panel.</w:t>
      </w:r>
    </w:p>
    <w:p>
      <w:pPr>
        <w:spacing w:before="0" w:after="140" w:line="264" w:lineRule="auto"/>
      </w:pPr>
      <w:r>
        <w:rPr>
          <w:rFonts w:ascii="Calibri" w:hAnsi="Calibri"/>
          <w:b/>
          <w:color w:val="1F4D78"/>
        </w:rPr>
        <w:t xml:space="preserve">22 July, 18:07–21:19. </w:t>
      </w:r>
      <w:r>
        <w:rPr>
          <w:rFonts w:ascii="Calibri" w:hAnsi="Calibri"/>
        </w:rPr>
        <w:t>Coordinate-radius outputs and the current 3 km joint panel are regenerated, increasing the SCW union to 1,034 weeks. The older model traces are not regenerated.</w:t>
      </w:r>
    </w:p>
    <w:p>
      <w:pPr>
        <w:spacing w:before="0" w:after="140" w:line="264" w:lineRule="auto"/>
      </w:pPr>
      <w:r>
        <w:rPr>
          <w:rFonts w:ascii="Calibri" w:hAnsi="Calibri"/>
          <w:b/>
          <w:color w:val="1F4D78"/>
        </w:rPr>
        <w:t xml:space="preserve">22 July, 21:27–22:51. </w:t>
      </w:r>
      <w:r>
        <w:rPr>
          <w:rFonts w:ascii="Calibri" w:hAnsi="Calibri"/>
        </w:rPr>
        <w:t>Factorial B×Q traces are produced, first with an ordered tissue link and then with a continuous censored lognormal link.</w:t>
      </w:r>
    </w:p>
    <w:p>
      <w:pPr>
        <w:spacing w:before="0" w:after="140" w:line="264" w:lineRule="auto"/>
      </w:pPr>
      <w:r>
        <w:rPr>
          <w:rFonts w:ascii="Calibri" w:hAnsi="Calibri"/>
          <w:b/>
          <w:color w:val="1F4D78"/>
        </w:rPr>
        <w:t xml:space="preserve">22 July, 23:47–23:48. </w:t>
      </w:r>
      <w:r>
        <w:rPr>
          <w:rFonts w:ascii="Calibri" w:hAnsi="Calibri"/>
        </w:rPr>
        <w:t>A methodology document and README label the world model, kinetics, and LFO correction as completed, although their executable and artifact paths are incomplete.</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CE8E6"/>
          </w:tcPr>
          <w:p>
            <w:pPr>
              <w:spacing w:before="40" w:after="40" w:line="264" w:lineRule="auto"/>
            </w:pPr>
            <w:r>
              <w:rPr>
                <w:rFonts w:ascii="Calibri" w:hAnsi="Calibri"/>
                <w:b/>
                <w:color w:val="9B1C1C"/>
              </w:rPr>
              <w:t xml:space="preserve">Key chronology consequence: </w:t>
            </w:r>
            <w:r>
              <w:rPr>
                <w:rFonts w:ascii="Calibri" w:hAnsi="Calibri"/>
                <w:color w:val="000000"/>
              </w:rPr>
              <w:t>The repository documentation was written after the new factorial trace but after—not before—the production K=4 and seasonal artifacts became stale relative to the current panel. A reader following README.md cannot reproduce the report’s central factorial, kinetic, or LFO claims.</w:t>
            </w:r>
          </w:p>
        </w:tc>
      </w:tr>
    </w:tbl>
    <w:p>
      <w:pPr>
        <w:spacing w:after="40"/>
      </w:pPr>
    </w:p>
    <w:p>
      <w:pPr>
        <w:pStyle w:val="Heading1"/>
        <w:keepNext/>
        <w:pageBreakBefore w:val="0"/>
      </w:pPr>
      <w:r>
        <w:rPr>
          <w:rFonts w:ascii="Calibri" w:hAnsi="Calibri"/>
          <w:b/>
          <w:color w:val="2E74B5"/>
          <w:sz w:val="32"/>
        </w:rPr>
        <w:t>4. End-to-end process and mathematical specification</w:t>
      </w:r>
    </w:p>
    <w:p>
      <w:pPr>
        <w:keepLines w:val="0"/>
        <w:spacing w:before="0" w:after="120" w:line="264" w:lineRule="auto"/>
      </w:pPr>
      <w:r>
        <w:rPr>
          <w:rFonts w:ascii="Calibri" w:hAnsi="Calibri"/>
          <w:b w:val="0"/>
          <w:i w:val="0"/>
          <w:color w:val="000000"/>
          <w:sz w:val="22"/>
        </w:rPr>
        <w:t>This section describes what the code actually does, from raw observations through exports. Equations are written in the row-vector convention used by the forward filters.</w:t>
      </w:r>
    </w:p>
    <w:p>
      <w:pPr>
        <w:pStyle w:val="Heading2"/>
        <w:keepNext/>
        <w:pageBreakBefore w:val="0"/>
      </w:pPr>
      <w:r>
        <w:rPr>
          <w:rFonts w:ascii="Calibri" w:hAnsi="Calibri"/>
          <w:b/>
          <w:color w:val="2E74B5"/>
          <w:sz w:val="26"/>
        </w:rPr>
        <w:t>4.1 Raw calHABMAP ingestion and weekly water panel</w:t>
      </w:r>
    </w:p>
    <w:p>
      <w:pPr>
        <w:keepLines w:val="0"/>
        <w:spacing w:before="0" w:after="120" w:line="264" w:lineRule="auto"/>
      </w:pPr>
      <w:r>
        <w:rPr>
          <w:rFonts w:ascii="Calibri" w:hAnsi="Calibri"/>
          <w:b w:val="0"/>
          <w:i w:val="0"/>
          <w:color w:val="000000"/>
          <w:sz w:val="22"/>
        </w:rPr>
        <w:t>The pipeline parses UTC timestamps, maps every observation to the start of a pandas W-SUN period, constructs total Pseudo-nitzschia abundance by summing the delicatissima and seriata groups with min_count=1, and then takes the arithmetic mean of each available water marker within site-week. Because pandas labels W-SUN periods by their ending Sunday, start_time is Monday; the name can be misread as a Sunday timestamp.</w:t>
      </w:r>
    </w:p>
    <w:p>
      <w:pPr>
        <w:keepLines/>
        <w:spacing w:before="100" w:after="160"/>
        <w:jc w:val="center"/>
      </w:pPr>
      <w:r>
        <w:rPr>
          <w:rFonts w:ascii="Cambria Math" w:hAnsi="Cambria Math"/>
          <w:i/>
          <w:color w:val="172B3A"/>
          <w:sz w:val="23"/>
        </w:rPr>
        <w:t>cellsᵢ = PN_delicatissima,ᵢ + PN_seriata,ᵢ  (with one observed component sufficient)</w:t>
      </w:r>
    </w:p>
    <w:p>
      <w:pPr>
        <w:keepLines/>
        <w:spacing w:before="100" w:after="160"/>
        <w:jc w:val="center"/>
      </w:pPr>
      <w:r>
        <w:rPr>
          <w:rFonts w:ascii="Cambria Math" w:hAnsi="Cambria Math"/>
          <w:i/>
          <w:color w:val="172B3A"/>
          <w:sz w:val="23"/>
        </w:rPr>
        <w:t>ȳₛw = (1 / nₛw) Σᵢ∈(s,w) yᵢ</w:t>
      </w:r>
    </w:p>
    <w:p>
      <w:pPr>
        <w:keepLines w:val="0"/>
        <w:spacing w:before="0" w:after="120" w:line="264" w:lineRule="auto"/>
      </w:pPr>
      <w:r>
        <w:rPr>
          <w:rFonts w:ascii="Calibri" w:hAnsi="Calibri"/>
          <w:b w:val="0"/>
          <w:i w:val="0"/>
          <w:color w:val="000000"/>
          <w:sz w:val="22"/>
        </w:rPr>
        <w:t>At Santa Cruz the source contains one water sample per represented week, so the weekly mean currently equals the sample. Elsewhere, mean aggregation can attenuate short peaks. The tissue panel uses a maximum, so the two channels target different within-week functionals. That choice must be tied to the decision epoch.</w:t>
      </w:r>
    </w:p>
    <w:p>
      <w:pPr>
        <w:spacing w:before="40" w:after="140" w:line="252" w:lineRule="auto"/>
        <w:ind w:left="259" w:right="144"/>
        <w:shd w:fill="F7F8FA"/>
      </w:pPr>
      <w:r>
        <w:rPr>
          <w:rFonts w:ascii="Calibri" w:hAnsi="Calibri"/>
          <w:b/>
          <w:color w:val="5B6770"/>
          <w:sz w:val="18"/>
        </w:rPr>
        <w:t xml:space="preserve">Repository evidence — </w:t>
      </w:r>
      <w:r>
        <w:rPr>
          <w:rFonts w:ascii="Courier New" w:hAnsi="Courier New"/>
          <w:color w:val="000000"/>
          <w:sz w:val="18"/>
        </w:rPr>
        <w:t>src/voi_remsen/data.py:14–16 and 23–27; config.py:40. Current SCW water table: 729 represented weeks, exactly one sample in each.</w:t>
      </w:r>
    </w:p>
    <w:p>
      <w:pPr>
        <w:pStyle w:val="Heading2"/>
        <w:keepNext/>
        <w:pageBreakBefore w:val="0"/>
      </w:pPr>
      <w:r>
        <w:rPr>
          <w:rFonts w:ascii="Calibri" w:hAnsi="Calibri"/>
          <w:b/>
          <w:color w:val="2E74B5"/>
          <w:sz w:val="26"/>
        </w:rPr>
        <w:t>4.2 Spatial tissue matching</w:t>
      </w:r>
    </w:p>
    <w:p>
      <w:pPr>
        <w:keepLines w:val="0"/>
        <w:spacing w:before="0" w:after="120" w:line="264" w:lineRule="auto"/>
      </w:pPr>
      <w:r>
        <w:rPr>
          <w:rFonts w:ascii="Calibri" w:hAnsi="Calibri"/>
          <w:b w:val="0"/>
          <w:i w:val="0"/>
          <w:color w:val="000000"/>
          <w:sz w:val="22"/>
        </w:rPr>
        <w:t>Each eligible mussel or oyster record is assigned to the nearest calHABMAP station if the great-circle distance is at most 3 km. The haversine distance is</w:t>
      </w:r>
    </w:p>
    <w:p>
      <w:pPr>
        <w:keepLines/>
        <w:spacing w:before="100" w:after="160"/>
        <w:jc w:val="center"/>
      </w:pPr>
      <w:r>
        <w:rPr>
          <w:rFonts w:ascii="Cambria Math" w:hAnsi="Cambria Math"/>
          <w:i/>
          <w:color w:val="172B3A"/>
          <w:sz w:val="23"/>
        </w:rPr>
        <w:t>d = 2R asin{ √[sin²((φ₂−φ₁)/2) + cosφ₁ cosφ₂ sin²((λ₂−λ₁)/2)] },   R = 6371.0088 km</w:t>
      </w:r>
    </w:p>
    <w:p>
      <w:pPr>
        <w:keepLines w:val="0"/>
        <w:spacing w:before="0" w:after="120" w:line="264" w:lineRule="auto"/>
      </w:pPr>
      <w:r>
        <w:rPr>
          <w:rFonts w:ascii="Calibri" w:hAnsi="Calibri"/>
          <w:b w:val="0"/>
          <w:i w:val="0"/>
          <w:color w:val="000000"/>
          <w:sz w:val="22"/>
        </w:rPr>
        <w:t>This is materially better than exact string matching, but it changes the meaning of the Santa Cruz anchor. The 706 raw records assigned to SCW come from four named sites: Santa Cruz Wharf (691), Sunny Cove (9), Santa Cruz Harbor (5), and Swift Street Beach (1), at distances up to 2.85 km. The anchor is therefore a three-kilometre Santa Cruz neighborhood, not strictly the Wharf. One closure record comes from Sunny Cove.</w:t>
      </w:r>
    </w:p>
    <w:p>
      <w:pPr>
        <w:spacing w:before="40" w:after="140" w:line="252" w:lineRule="auto"/>
        <w:ind w:left="259" w:right="144"/>
        <w:shd w:fill="F7F8FA"/>
      </w:pPr>
      <w:r>
        <w:rPr>
          <w:rFonts w:ascii="Calibri" w:hAnsi="Calibri"/>
          <w:b/>
          <w:color w:val="5B6770"/>
          <w:sz w:val="18"/>
        </w:rPr>
        <w:t xml:space="preserve">Repository evidence — </w:t>
      </w:r>
      <w:r>
        <w:rPr>
          <w:rFonts w:ascii="Courier New" w:hAnsi="Courier New"/>
          <w:color w:val="000000"/>
          <w:sz w:val="18"/>
        </w:rPr>
        <w:t>src/voi_remsen/data.py:61–100. The current 3 km match has 4,513 samples, 15 stations, and 66 closure weeks.</w:t>
      </w:r>
    </w:p>
    <w:p>
      <w:pPr>
        <w:pStyle w:val="Heading2"/>
        <w:keepNext/>
        <w:pageBreakBefore w:val="0"/>
      </w:pPr>
      <w:r>
        <w:rPr>
          <w:rFonts w:ascii="Calibri" w:hAnsi="Calibri"/>
          <w:b/>
          <w:color w:val="2E74B5"/>
          <w:sz w:val="26"/>
        </w:rPr>
        <w:t>4.3 Tissue aggregation and censoring</w:t>
      </w:r>
    </w:p>
    <w:p>
      <w:pPr>
        <w:keepLines w:val="0"/>
        <w:spacing w:before="0" w:after="120" w:line="264" w:lineRule="auto"/>
      </w:pPr>
      <w:r>
        <w:rPr>
          <w:rFonts w:ascii="Calibri" w:hAnsi="Calibri"/>
          <w:b w:val="0"/>
          <w:i w:val="0"/>
          <w:color w:val="000000"/>
          <w:sz w:val="22"/>
        </w:rPr>
        <w:t>The raw assay value is treated as a detection limit when Mod-ASP equals '&lt;'. Values are categorized as non-detect, detected below 20 ppm, or closure-level. Weekly construction keeps the maximum DA value and the maximum category; the current scalar HMM uses only the category. The newer factorial model uses the continuous maximum plus the week’s censoring flag and LOD.</w:t>
      </w:r>
    </w:p>
    <w:p>
      <w:pPr>
        <w:keepLines/>
        <w:spacing w:before="100" w:after="160"/>
        <w:jc w:val="center"/>
      </w:pPr>
      <w:r>
        <w:rPr>
          <w:rFonts w:ascii="Cambria Math" w:hAnsi="Cambria Math"/>
          <w:i/>
          <w:color w:val="172B3A"/>
          <w:sz w:val="23"/>
        </w:rPr>
        <w:t>C = 1 if censored;   C = 2 if observed DA &lt; 20;   C = 3 if observed DA ≥ 20</w:t>
      </w:r>
    </w:p>
    <w:p>
      <w:pPr>
        <w:keepLines w:val="0"/>
        <w:spacing w:before="0" w:after="120" w:line="264" w:lineRule="auto"/>
      </w:pPr>
      <w:r>
        <w:rPr>
          <w:rFonts w:ascii="Calibri" w:hAnsi="Calibri"/>
          <w:b w:val="0"/>
          <w:i w:val="0"/>
          <w:color w:val="000000"/>
          <w:sz w:val="22"/>
        </w:rPr>
        <w:t>At SCW, 30 of 675 matched tissue weeks contain two or three assays. The model ignores n and assigns the weekly maximum the likelihood of one draw. If individual assays Y₁,…,Yₙ are conditionally independent with CDF F, the correct maximum likelihood satisfies</w:t>
      </w:r>
    </w:p>
    <w:p>
      <w:pPr>
        <w:keepLines/>
        <w:spacing w:before="100" w:after="160"/>
        <w:jc w:val="center"/>
      </w:pPr>
      <w:r>
        <w:rPr>
          <w:rFonts w:ascii="Cambria Math" w:hAnsi="Cambria Math"/>
          <w:i/>
          <w:color w:val="172B3A"/>
          <w:sz w:val="23"/>
        </w:rPr>
        <w:t>P(max(Y₁,…,Yₙ) ≤ y | state) = F(y | state)ⁿ</w:t>
      </w:r>
    </w:p>
    <w:p>
      <w:pPr>
        <w:keepLines w:val="0"/>
        <w:spacing w:before="0" w:after="120" w:line="264" w:lineRule="auto"/>
      </w:pPr>
      <w:r>
        <w:rPr>
          <w:rFonts w:ascii="Calibri" w:hAnsi="Calibri"/>
          <w:b w:val="0"/>
          <w:i w:val="0"/>
          <w:color w:val="000000"/>
          <w:sz w:val="22"/>
        </w:rPr>
        <w:t>Ignoring n makes weeks with more tests appear intrinsically more hazardous. The cleanest remedy is to retain sample-level observations; an order-statistic likelihood is the fallback when the management outcome is specifically the weekly maximum.</w:t>
      </w:r>
    </w:p>
    <w:p>
      <w:pPr>
        <w:spacing w:before="40" w:after="140" w:line="252" w:lineRule="auto"/>
        <w:ind w:left="259" w:right="144"/>
        <w:shd w:fill="F7F8FA"/>
      </w:pPr>
      <w:r>
        <w:rPr>
          <w:rFonts w:ascii="Calibri" w:hAnsi="Calibri"/>
          <w:b/>
          <w:color w:val="5B6770"/>
          <w:sz w:val="18"/>
        </w:rPr>
        <w:t xml:space="preserve">Repository evidence — </w:t>
      </w:r>
      <w:r>
        <w:rPr>
          <w:rFonts w:ascii="Courier New" w:hAnsi="Courier New"/>
          <w:color w:val="000000"/>
          <w:sz w:val="18"/>
        </w:rPr>
        <w:t>src/voi_remsen/data.py:73–100 and 103–113. factorial.py:64–74 and 204–215.</w:t>
      </w:r>
    </w:p>
    <w:p>
      <w:pPr>
        <w:pStyle w:val="Heading2"/>
        <w:keepNext/>
        <w:pageBreakBefore w:val="0"/>
      </w:pPr>
      <w:r>
        <w:rPr>
          <w:rFonts w:ascii="Calibri" w:hAnsi="Calibri"/>
          <w:b/>
          <w:color w:val="2E74B5"/>
          <w:sz w:val="26"/>
        </w:rPr>
        <w:t>4.4 Stationary continuous-time hidden Markov model</w:t>
      </w:r>
    </w:p>
    <w:p>
      <w:pPr>
        <w:keepLines w:val="0"/>
        <w:spacing w:before="0" w:after="120" w:line="264" w:lineRule="auto"/>
      </w:pPr>
      <w:r>
        <w:rPr>
          <w:rFonts w:ascii="Calibri" w:hAnsi="Calibri"/>
          <w:b w:val="0"/>
          <w:i w:val="0"/>
          <w:color w:val="000000"/>
          <w:sz w:val="22"/>
        </w:rPr>
        <w:t>The stationary model uses an ordered latent state S(t)∈{0,…,K−1}. Adjacent upward and downward movements form a birth–death generator Q. Off-diagonal qᵢⱼ are instantaneous rates; each diagonal is the negative row sum.</w:t>
      </w:r>
    </w:p>
    <w:p>
      <w:pPr>
        <w:keepLines/>
        <w:spacing w:before="100" w:after="160"/>
        <w:jc w:val="center"/>
      </w:pPr>
      <w:r>
        <w:rPr>
          <w:rFonts w:ascii="Cambria Math" w:hAnsi="Cambria Math"/>
          <w:i/>
          <w:color w:val="172B3A"/>
          <w:sz w:val="23"/>
        </w:rPr>
        <w:t>Qᵢ,ᵢ₊₁ = uᵢ,   Qᵢ₊₁,ᵢ = dᵢ,   Qᵢᵢ = −Σⱼ≠ᵢ Qᵢⱼ</w:t>
      </w:r>
    </w:p>
    <w:p>
      <w:pPr>
        <w:keepLines/>
        <w:spacing w:before="100" w:after="160"/>
        <w:jc w:val="center"/>
      </w:pPr>
      <w:r>
        <w:rPr>
          <w:rFonts w:ascii="Cambria Math" w:hAnsi="Cambria Math"/>
          <w:i/>
          <w:color w:val="172B3A"/>
          <w:sz w:val="23"/>
        </w:rPr>
        <w:t>P(Δ) = exp(ΔQ)</w:t>
      </w:r>
    </w:p>
    <w:p>
      <w:pPr>
        <w:keepLines w:val="0"/>
        <w:spacing w:before="0" w:after="120" w:line="264" w:lineRule="auto"/>
      </w:pPr>
      <w:r>
        <w:rPr>
          <w:rFonts w:ascii="Calibri" w:hAnsi="Calibri"/>
          <w:b w:val="0"/>
          <w:i w:val="0"/>
          <w:color w:val="000000"/>
          <w:sz w:val="22"/>
        </w:rPr>
        <w:t>This is the standard continuous-time panel construction [R1]. Weekly gaps are handled by powers of the one-week transition matrix. Gaps longer than 52 weeks are clipped to 52 to bound the computational graph. That is an approximation, not an identity; its present error was reportedly small for a fitted chain, but the condition is not enforced for every posterior draw or future fit.</w:t>
      </w:r>
    </w:p>
    <w:p>
      <w:pPr>
        <w:keepLines w:val="0"/>
        <w:spacing w:before="0" w:after="120" w:line="264" w:lineRule="auto"/>
      </w:pPr>
      <w:r>
        <w:rPr>
          <w:rFonts w:ascii="Calibri" w:hAnsi="Calibri"/>
          <w:b w:val="0"/>
          <w:i w:val="0"/>
          <w:color w:val="000000"/>
          <w:sz w:val="22"/>
        </w:rPr>
        <w:t>The forward likelihood marginalizes the hidden states. With state emission vector Eₜ and normalized filtered belief αₜ₋₁:</w:t>
      </w:r>
    </w:p>
    <w:p>
      <w:pPr>
        <w:keepLines/>
        <w:spacing w:before="100" w:after="160"/>
        <w:jc w:val="center"/>
      </w:pPr>
      <w:r>
        <w:rPr>
          <w:rFonts w:ascii="Cambria Math" w:hAnsi="Cambria Math"/>
          <w:i/>
          <w:color w:val="172B3A"/>
          <w:sz w:val="23"/>
        </w:rPr>
        <w:t>vₜ = (αₜ₋₁ P(gₜ)) ⊙ Eₜ,   cₜ = Σₖ vₜ(k),   αₜ = vₜ / cₜ</w:t>
      </w:r>
    </w:p>
    <w:p>
      <w:pPr>
        <w:keepLines/>
        <w:spacing w:before="100" w:after="160"/>
        <w:jc w:val="center"/>
      </w:pPr>
      <w:r>
        <w:rPr>
          <w:rFonts w:ascii="Cambria Math" w:hAnsi="Cambria Math"/>
          <w:i/>
          <w:color w:val="172B3A"/>
          <w:sz w:val="23"/>
        </w:rPr>
        <w:t>log p(y₁:T | θ) = Σₜ log cₜ</w:t>
      </w:r>
    </w:p>
    <w:p>
      <w:pPr>
        <w:spacing w:before="40" w:after="140" w:line="252" w:lineRule="auto"/>
        <w:ind w:left="259" w:right="144"/>
        <w:shd w:fill="F7F8FA"/>
      </w:pPr>
      <w:r>
        <w:rPr>
          <w:rFonts w:ascii="Calibri" w:hAnsi="Calibri"/>
          <w:b/>
          <w:color w:val="5B6770"/>
          <w:sz w:val="18"/>
        </w:rPr>
        <w:t xml:space="preserve">Repository evidence — </w:t>
      </w:r>
      <w:r>
        <w:rPr>
          <w:rFonts w:ascii="Courier New" w:hAnsi="Courier New"/>
          <w:color w:val="000000"/>
          <w:sz w:val="18"/>
        </w:rPr>
        <w:t>src/voi_remsen/worldmodel/model.py:56–107 and 110–170.</w:t>
      </w:r>
    </w:p>
    <w:p>
      <w:pPr>
        <w:pStyle w:val="Heading2"/>
        <w:keepNext/>
        <w:pageBreakBefore w:val="0"/>
      </w:pPr>
      <w:r>
        <w:rPr>
          <w:rFonts w:ascii="Calibri" w:hAnsi="Calibri"/>
          <w:b/>
          <w:color w:val="2E74B5"/>
          <w:sz w:val="26"/>
        </w:rPr>
        <w:t>4.5 Cell and tissue emissions in the scalar model</w:t>
      </w:r>
    </w:p>
    <w:p>
      <w:pPr>
        <w:keepLines w:val="0"/>
        <w:spacing w:before="0" w:after="120" w:line="264" w:lineRule="auto"/>
      </w:pPr>
      <w:r>
        <w:rPr>
          <w:rFonts w:ascii="Calibri" w:hAnsi="Calibri"/>
          <w:b w:val="0"/>
          <w:i w:val="0"/>
          <w:color w:val="000000"/>
          <w:sz w:val="22"/>
        </w:rPr>
        <w:t>For y=log₁₀(cells+1), an exact zero has state-specific probability π⁰ₖ. Positive values follow a Normal distribution truncated below zero with one shared σ. Ordered means are built from positive increments with a minimum separation of 0.5 log₁₀ units.</w:t>
      </w:r>
    </w:p>
    <w:p>
      <w:pPr>
        <w:keepLines/>
        <w:spacing w:before="100" w:after="160"/>
        <w:jc w:val="center"/>
      </w:pPr>
      <w:r>
        <w:rPr>
          <w:rFonts w:ascii="Cambria Math" w:hAnsi="Cambria Math"/>
          <w:i/>
          <w:color w:val="172B3A"/>
          <w:sz w:val="23"/>
        </w:rPr>
        <w:t>p(y | S=k) = π⁰ₖ  if y=0</w:t>
      </w:r>
    </w:p>
    <w:p>
      <w:pPr>
        <w:keepLines/>
        <w:spacing w:before="100" w:after="160"/>
        <w:jc w:val="center"/>
      </w:pPr>
      <w:r>
        <w:rPr>
          <w:rFonts w:ascii="Cambria Math" w:hAnsi="Cambria Math"/>
          <w:i/>
          <w:color w:val="172B3A"/>
          <w:sz w:val="23"/>
        </w:rPr>
        <w:t>p(y | S=k) = (1−π⁰ₖ) φ((y−μₖ)/σ) / [σ Φ(μₖ/σ)]  if y&gt;0</w:t>
      </w:r>
    </w:p>
    <w:p>
      <w:pPr>
        <w:keepLines w:val="0"/>
        <w:spacing w:before="0" w:after="120" w:line="264" w:lineRule="auto"/>
      </w:pPr>
      <w:r>
        <w:rPr>
          <w:rFonts w:ascii="Calibri" w:hAnsi="Calibri"/>
          <w:b w:val="0"/>
          <w:i w:val="0"/>
          <w:color w:val="000000"/>
          <w:sz w:val="22"/>
        </w:rPr>
        <w:t>For any pair of positive-part states with μⱼ&gt;μᵢ and shared σ, the log likelihood ratio is affine with positive slope in y, so larger positive counts cannot reverse the state order. This correctly fixes the earlier per-state-variance pathology. The zero probabilities themselves are not ordered: in the saved K=4 trace the posterior means are approximately [0.950, 0.411, 0.045, 0.057], so a zero is slightly more likely in the top state than the next state. Full monotonicity across zero and positive support is therefore not guaranteed.</w:t>
      </w:r>
    </w:p>
    <w:p>
      <w:pPr>
        <w:keepLines w:val="0"/>
        <w:spacing w:before="0" w:after="120" w:line="264" w:lineRule="auto"/>
      </w:pPr>
      <w:r>
        <w:rPr>
          <w:rFonts w:ascii="Calibri" w:hAnsi="Calibri"/>
          <w:b w:val="0"/>
          <w:i w:val="0"/>
          <w:color w:val="000000"/>
          <w:sz w:val="22"/>
        </w:rPr>
        <w:t>Tissue category probabilities are an unconstrained K×3 Dirichlet matrix E_DA. Missing channels contribute a factor of one, which is correct only if sampling is ignorable conditional on modeled information.</w:t>
      </w:r>
    </w:p>
    <w:p>
      <w:pPr>
        <w:keepLines/>
        <w:spacing w:before="100" w:after="160"/>
        <w:jc w:val="center"/>
      </w:pPr>
      <w:r>
        <w:rPr>
          <w:rFonts w:ascii="Cambria Math" w:hAnsi="Cambria Math"/>
          <w:i/>
          <w:color w:val="172B3A"/>
          <w:sz w:val="23"/>
        </w:rPr>
        <w:t>p(y_cell, y_DA | S=k) = p(y_cell | S=k) p(y_DA | S=k)</w:t>
      </w:r>
    </w:p>
    <w:p>
      <w:pPr>
        <w:spacing w:before="40" w:after="140" w:line="252" w:lineRule="auto"/>
        <w:ind w:left="259" w:right="144"/>
        <w:shd w:fill="F7F8FA"/>
      </w:pPr>
      <w:r>
        <w:rPr>
          <w:rFonts w:ascii="Calibri" w:hAnsi="Calibri"/>
          <w:b/>
          <w:color w:val="5B6770"/>
          <w:sz w:val="18"/>
        </w:rPr>
        <w:t xml:space="preserve">Repository evidence — </w:t>
      </w:r>
      <w:r>
        <w:rPr>
          <w:rFonts w:ascii="Courier New" w:hAnsi="Courier New"/>
          <w:color w:val="000000"/>
          <w:sz w:val="18"/>
        </w:rPr>
        <w:t>emissions.py:35–84; model.py:141–168. Saved worldmodel_K4.nc posterior means were independently reloaded during review.</w:t>
      </w:r>
    </w:p>
    <w:p>
      <w:pPr>
        <w:pStyle w:val="Heading2"/>
        <w:keepNext/>
        <w:pageBreakBefore w:val="0"/>
      </w:pPr>
      <w:r>
        <w:rPr>
          <w:rFonts w:ascii="Calibri" w:hAnsi="Calibri"/>
          <w:b/>
          <w:color w:val="2E74B5"/>
          <w:sz w:val="26"/>
        </w:rPr>
        <w:t>4.6 State count and scalar-model export</w:t>
      </w:r>
    </w:p>
    <w:p>
      <w:pPr>
        <w:keepLines w:val="0"/>
        <w:spacing w:before="0" w:after="120" w:line="264" w:lineRule="auto"/>
      </w:pPr>
      <w:r>
        <w:rPr>
          <w:rFonts w:ascii="Calibri" w:hAnsi="Calibri"/>
          <w:b w:val="0"/>
          <w:i w:val="0"/>
          <w:color w:val="000000"/>
          <w:sz w:val="22"/>
        </w:rPr>
        <w:t>The production script fits K=2,3,4 (and the saved output also includes K=5), reconstructs forward factors, runs ArviZ PSIS-LOO, excludes fits with R-hat≥1.05 or divergences, and exports the best remaining K. Only K=4 passes the current gate. Its saved diagnostics are strong: max R-hat 1.007, zero divergences, minimum bulk ESS 439, minimum tail ESS 515, and max Pareto k 0.34. Those support computation for the older 1,023-week panel.</w:t>
      </w:r>
    </w:p>
    <w:tbl>
      <w:tblPr>
        <w:tblStyle w:val="TableGrid"/>
        <w:jc w:val="left"/>
        <w:tblLook w:firstColumn="1" w:firstRow="1" w:lastColumn="0" w:lastRow="0" w:noHBand="0" w:noVBand="1" w:val="04A0"/>
        <w:tblW w:w="9360" w:type="dxa"/>
        <w:tblInd w:w="120" w:type="dxa"/>
        <w:tblLayout w:type="fixed"/>
      </w:tblPr>
      <w:tblGrid>
        <w:gridCol w:w="600"/>
        <w:gridCol w:w="1150"/>
        <w:gridCol w:w="900"/>
        <w:gridCol w:w="1100"/>
        <w:gridCol w:w="1050"/>
        <w:gridCol w:w="4560"/>
      </w:tblGrid>
      <w:tr>
        <w:trPr>
          <w:tblHeader w:val="true"/>
        </w:trPr>
        <w:tc>
          <w:tcPr>
            <w:tcW w:type="dxa" w:w="600"/>
            <w:shd w:fill="F2F4F7"/>
            <w:tcMar>
              <w:top w:w="80" w:type="dxa"/>
              <w:start w:w="120" w:type="dxa"/>
              <w:bottom w:w="80" w:type="dxa"/>
              <w:end w:w="120" w:type="dxa"/>
            </w:tcMar>
            <w:vAlign w:val="center"/>
          </w:tcPr>
          <w:p>
            <w:pPr>
              <w:spacing w:after="0"/>
            </w:pPr>
            <w:r>
              <w:rPr>
                <w:rFonts w:ascii="Calibri" w:hAnsi="Calibri"/>
                <w:b/>
                <w:color w:val="172B3A"/>
                <w:sz w:val="17"/>
              </w:rPr>
              <w:t>K</w:t>
            </w:r>
          </w:p>
        </w:tc>
        <w:tc>
          <w:tcPr>
            <w:tcW w:type="dxa" w:w="1150"/>
            <w:shd w:fill="F2F4F7"/>
            <w:tcMar>
              <w:top w:w="80" w:type="dxa"/>
              <w:start w:w="120" w:type="dxa"/>
              <w:bottom w:w="80" w:type="dxa"/>
              <w:end w:w="120" w:type="dxa"/>
            </w:tcMar>
            <w:vAlign w:val="center"/>
          </w:tcPr>
          <w:p>
            <w:pPr>
              <w:spacing w:after="0"/>
            </w:pPr>
            <w:r>
              <w:rPr>
                <w:rFonts w:ascii="Calibri" w:hAnsi="Calibri"/>
                <w:b/>
                <w:color w:val="172B3A"/>
                <w:sz w:val="17"/>
              </w:rPr>
              <w:t>ELPD-LOO</w:t>
            </w:r>
          </w:p>
        </w:tc>
        <w:tc>
          <w:tcPr>
            <w:tcW w:type="dxa" w:w="900"/>
            <w:shd w:fill="F2F4F7"/>
            <w:tcMar>
              <w:top w:w="80" w:type="dxa"/>
              <w:start w:w="120" w:type="dxa"/>
              <w:bottom w:w="80" w:type="dxa"/>
              <w:end w:w="120" w:type="dxa"/>
            </w:tcMar>
            <w:vAlign w:val="center"/>
          </w:tcPr>
          <w:p>
            <w:pPr>
              <w:spacing w:after="0"/>
            </w:pPr>
            <w:r>
              <w:rPr>
                <w:rFonts w:ascii="Calibri" w:hAnsi="Calibri"/>
                <w:b/>
                <w:color w:val="172B3A"/>
                <w:sz w:val="17"/>
              </w:rPr>
              <w:t>p_LOO</w:t>
            </w:r>
          </w:p>
        </w:tc>
        <w:tc>
          <w:tcPr>
            <w:tcW w:type="dxa" w:w="1100"/>
            <w:shd w:fill="F2F4F7"/>
            <w:tcMar>
              <w:top w:w="80" w:type="dxa"/>
              <w:start w:w="120" w:type="dxa"/>
              <w:bottom w:w="80" w:type="dxa"/>
              <w:end w:w="120" w:type="dxa"/>
            </w:tcMar>
            <w:vAlign w:val="center"/>
          </w:tcPr>
          <w:p>
            <w:pPr>
              <w:spacing w:after="0"/>
            </w:pPr>
            <w:r>
              <w:rPr>
                <w:rFonts w:ascii="Calibri" w:hAnsi="Calibri"/>
                <w:b/>
                <w:color w:val="172B3A"/>
                <w:sz w:val="17"/>
              </w:rPr>
              <w:t>Max R-hat</w:t>
            </w:r>
          </w:p>
        </w:tc>
        <w:tc>
          <w:tcPr>
            <w:tcW w:type="dxa" w:w="1050"/>
            <w:shd w:fill="F2F4F7"/>
            <w:tcMar>
              <w:top w:w="80" w:type="dxa"/>
              <w:start w:w="120" w:type="dxa"/>
              <w:bottom w:w="80" w:type="dxa"/>
              <w:end w:w="120" w:type="dxa"/>
            </w:tcMar>
            <w:vAlign w:val="center"/>
          </w:tcPr>
          <w:p>
            <w:pPr>
              <w:spacing w:after="0"/>
            </w:pPr>
            <w:r>
              <w:rPr>
                <w:rFonts w:ascii="Calibri" w:hAnsi="Calibri"/>
                <w:b/>
                <w:color w:val="172B3A"/>
                <w:sz w:val="17"/>
              </w:rPr>
              <w:t>Divergences</w:t>
            </w:r>
          </w:p>
        </w:tc>
        <w:tc>
          <w:tcPr>
            <w:tcW w:type="dxa" w:w="4560"/>
            <w:shd w:fill="F2F4F7"/>
            <w:tcMar>
              <w:top w:w="80" w:type="dxa"/>
              <w:start w:w="120" w:type="dxa"/>
              <w:bottom w:w="80" w:type="dxa"/>
              <w:end w:w="120" w:type="dxa"/>
            </w:tcMar>
            <w:vAlign w:val="center"/>
          </w:tcPr>
          <w:p>
            <w:pPr>
              <w:spacing w:after="0"/>
            </w:pPr>
            <w:r>
              <w:rPr>
                <w:rFonts w:ascii="Calibri" w:hAnsi="Calibri"/>
                <w:b/>
                <w:color w:val="172B3A"/>
                <w:sz w:val="17"/>
              </w:rPr>
              <w:t>Audit interpretation</w:t>
            </w:r>
          </w:p>
        </w:tc>
      </w:tr>
      <w:tr>
        <w:tc>
          <w:tcPr>
            <w:tcW w:type="dxa" w:w="600"/>
            <w:tcMar>
              <w:top w:w="80" w:type="dxa"/>
              <w:start w:w="120" w:type="dxa"/>
              <w:bottom w:w="80" w:type="dxa"/>
              <w:end w:w="120" w:type="dxa"/>
            </w:tcMar>
            <w:vAlign w:val="center"/>
          </w:tcPr>
          <w:p>
            <w:pPr>
              <w:spacing w:after="0" w:line="252" w:lineRule="auto"/>
            </w:pPr>
            <w:r>
              <w:rPr>
                <w:rFonts w:ascii="Calibri" w:hAnsi="Calibri"/>
                <w:color w:val="000000"/>
                <w:sz w:val="17"/>
              </w:rPr>
              <w:t>2</w:t>
            </w:r>
          </w:p>
        </w:tc>
        <w:tc>
          <w:tcPr>
            <w:tcW w:type="dxa" w:w="1150"/>
            <w:tcMar>
              <w:top w:w="80" w:type="dxa"/>
              <w:start w:w="120" w:type="dxa"/>
              <w:bottom w:w="80" w:type="dxa"/>
              <w:end w:w="120" w:type="dxa"/>
            </w:tcMar>
            <w:vAlign w:val="center"/>
          </w:tcPr>
          <w:p>
            <w:pPr>
              <w:spacing w:after="0" w:line="252" w:lineRule="auto"/>
            </w:pPr>
            <w:r>
              <w:rPr>
                <w:rFonts w:ascii="Calibri" w:hAnsi="Calibri"/>
                <w:color w:val="000000"/>
                <w:sz w:val="17"/>
              </w:rPr>
              <w:t>−907.0</w:t>
            </w:r>
          </w:p>
        </w:tc>
        <w:tc>
          <w:tcPr>
            <w:tcW w:type="dxa" w:w="900"/>
            <w:tcMar>
              <w:top w:w="80" w:type="dxa"/>
              <w:start w:w="120" w:type="dxa"/>
              <w:bottom w:w="80" w:type="dxa"/>
              <w:end w:w="120" w:type="dxa"/>
            </w:tcMar>
            <w:vAlign w:val="center"/>
          </w:tcPr>
          <w:p>
            <w:pPr>
              <w:spacing w:after="0" w:line="252" w:lineRule="auto"/>
            </w:pPr>
            <w:r>
              <w:rPr>
                <w:rFonts w:ascii="Calibri" w:hAnsi="Calibri"/>
                <w:color w:val="000000"/>
                <w:sz w:val="17"/>
              </w:rPr>
              <w:t>64.2</w:t>
            </w:r>
          </w:p>
        </w:tc>
        <w:tc>
          <w:tcPr>
            <w:tcW w:type="dxa" w:w="1100"/>
            <w:tcMar>
              <w:top w:w="80" w:type="dxa"/>
              <w:start w:w="120" w:type="dxa"/>
              <w:bottom w:w="80" w:type="dxa"/>
              <w:end w:w="120" w:type="dxa"/>
            </w:tcMar>
            <w:vAlign w:val="center"/>
          </w:tcPr>
          <w:p>
            <w:pPr>
              <w:spacing w:after="0" w:line="252" w:lineRule="auto"/>
            </w:pPr>
            <w:r>
              <w:rPr>
                <w:rFonts w:ascii="Calibri" w:hAnsi="Calibri"/>
                <w:color w:val="000000"/>
                <w:sz w:val="17"/>
              </w:rPr>
              <w:t>1.534</w:t>
            </w:r>
          </w:p>
        </w:tc>
        <w:tc>
          <w:tcPr>
            <w:tcW w:type="dxa" w:w="1050"/>
            <w:tcMar>
              <w:top w:w="80" w:type="dxa"/>
              <w:start w:w="120" w:type="dxa"/>
              <w:bottom w:w="80" w:type="dxa"/>
              <w:end w:w="120" w:type="dxa"/>
            </w:tcMar>
            <w:vAlign w:val="center"/>
          </w:tcPr>
          <w:p>
            <w:pPr>
              <w:spacing w:after="0" w:line="252" w:lineRule="auto"/>
            </w:pPr>
            <w:r>
              <w:rPr>
                <w:rFonts w:ascii="Calibri" w:hAnsi="Calibri"/>
                <w:color w:val="000000"/>
                <w:sz w:val="17"/>
              </w:rPr>
              <w:t>0</w:t>
            </w:r>
          </w:p>
        </w:tc>
        <w:tc>
          <w:tcPr>
            <w:tcW w:type="dxa" w:w="4560"/>
            <w:tcMar>
              <w:top w:w="80" w:type="dxa"/>
              <w:start w:w="120" w:type="dxa"/>
              <w:bottom w:w="80" w:type="dxa"/>
              <w:end w:w="120" w:type="dxa"/>
            </w:tcMar>
            <w:vAlign w:val="center"/>
          </w:tcPr>
          <w:p>
            <w:pPr>
              <w:spacing w:after="0" w:line="252" w:lineRule="auto"/>
            </w:pPr>
            <w:r>
              <w:rPr>
                <w:rFonts w:ascii="Calibri" w:hAnsi="Calibri"/>
                <w:color w:val="000000"/>
                <w:sz w:val="17"/>
              </w:rPr>
              <w:t>Unmixed; score unusable</w:t>
            </w:r>
          </w:p>
        </w:tc>
      </w:tr>
      <w:tr>
        <w:tc>
          <w:tcPr>
            <w:tcW w:type="dxa" w:w="600"/>
            <w:tcMar>
              <w:top w:w="80" w:type="dxa"/>
              <w:start w:w="120" w:type="dxa"/>
              <w:bottom w:w="80" w:type="dxa"/>
              <w:end w:w="120" w:type="dxa"/>
            </w:tcMar>
            <w:vAlign w:val="center"/>
          </w:tcPr>
          <w:p>
            <w:pPr>
              <w:spacing w:after="0" w:line="252" w:lineRule="auto"/>
            </w:pPr>
            <w:r>
              <w:rPr>
                <w:rFonts w:ascii="Calibri" w:hAnsi="Calibri"/>
                <w:color w:val="000000"/>
                <w:sz w:val="17"/>
              </w:rPr>
              <w:t>3</w:t>
            </w:r>
          </w:p>
        </w:tc>
        <w:tc>
          <w:tcPr>
            <w:tcW w:type="dxa" w:w="1150"/>
            <w:tcMar>
              <w:top w:w="80" w:type="dxa"/>
              <w:start w:w="120" w:type="dxa"/>
              <w:bottom w:w="80" w:type="dxa"/>
              <w:end w:w="120" w:type="dxa"/>
            </w:tcMar>
            <w:vAlign w:val="center"/>
          </w:tcPr>
          <w:p>
            <w:pPr>
              <w:spacing w:after="0" w:line="252" w:lineRule="auto"/>
            </w:pPr>
            <w:r>
              <w:rPr>
                <w:rFonts w:ascii="Calibri" w:hAnsi="Calibri"/>
                <w:color w:val="000000"/>
                <w:sz w:val="17"/>
              </w:rPr>
              <w:t>−838.4</w:t>
            </w:r>
          </w:p>
        </w:tc>
        <w:tc>
          <w:tcPr>
            <w:tcW w:type="dxa" w:w="900"/>
            <w:tcMar>
              <w:top w:w="80" w:type="dxa"/>
              <w:start w:w="120" w:type="dxa"/>
              <w:bottom w:w="80" w:type="dxa"/>
              <w:end w:w="120" w:type="dxa"/>
            </w:tcMar>
            <w:vAlign w:val="center"/>
          </w:tcPr>
          <w:p>
            <w:pPr>
              <w:spacing w:after="0" w:line="252" w:lineRule="auto"/>
            </w:pPr>
            <w:r>
              <w:rPr>
                <w:rFonts w:ascii="Calibri" w:hAnsi="Calibri"/>
                <w:color w:val="000000"/>
                <w:sz w:val="17"/>
              </w:rPr>
              <w:t>34.3</w:t>
            </w:r>
          </w:p>
        </w:tc>
        <w:tc>
          <w:tcPr>
            <w:tcW w:type="dxa" w:w="1100"/>
            <w:tcMar>
              <w:top w:w="80" w:type="dxa"/>
              <w:start w:w="120" w:type="dxa"/>
              <w:bottom w:w="80" w:type="dxa"/>
              <w:end w:w="120" w:type="dxa"/>
            </w:tcMar>
            <w:vAlign w:val="center"/>
          </w:tcPr>
          <w:p>
            <w:pPr>
              <w:spacing w:after="0" w:line="252" w:lineRule="auto"/>
            </w:pPr>
            <w:r>
              <w:rPr>
                <w:rFonts w:ascii="Calibri" w:hAnsi="Calibri"/>
                <w:color w:val="000000"/>
                <w:sz w:val="17"/>
              </w:rPr>
              <w:t>1.554</w:t>
            </w:r>
          </w:p>
        </w:tc>
        <w:tc>
          <w:tcPr>
            <w:tcW w:type="dxa" w:w="1050"/>
            <w:tcMar>
              <w:top w:w="80" w:type="dxa"/>
              <w:start w:w="120" w:type="dxa"/>
              <w:bottom w:w="80" w:type="dxa"/>
              <w:end w:w="120" w:type="dxa"/>
            </w:tcMar>
            <w:vAlign w:val="center"/>
          </w:tcPr>
          <w:p>
            <w:pPr>
              <w:spacing w:after="0" w:line="252" w:lineRule="auto"/>
            </w:pPr>
            <w:r>
              <w:rPr>
                <w:rFonts w:ascii="Calibri" w:hAnsi="Calibri"/>
                <w:color w:val="000000"/>
                <w:sz w:val="17"/>
              </w:rPr>
              <w:t>4</w:t>
            </w:r>
          </w:p>
        </w:tc>
        <w:tc>
          <w:tcPr>
            <w:tcW w:type="dxa" w:w="4560"/>
            <w:tcMar>
              <w:top w:w="80" w:type="dxa"/>
              <w:start w:w="120" w:type="dxa"/>
              <w:bottom w:w="80" w:type="dxa"/>
              <w:end w:w="120" w:type="dxa"/>
            </w:tcMar>
            <w:vAlign w:val="center"/>
          </w:tcPr>
          <w:p>
            <w:pPr>
              <w:spacing w:after="0" w:line="252" w:lineRule="auto"/>
            </w:pPr>
            <w:r>
              <w:rPr>
                <w:rFonts w:ascii="Calibri" w:hAnsi="Calibri"/>
                <w:color w:val="000000"/>
                <w:sz w:val="17"/>
              </w:rPr>
              <w:t>Unmixed; score unusable</w:t>
            </w:r>
          </w:p>
        </w:tc>
      </w:tr>
      <w:tr>
        <w:tc>
          <w:tcPr>
            <w:tcW w:type="dxa" w:w="600"/>
            <w:tcMar>
              <w:top w:w="80" w:type="dxa"/>
              <w:start w:w="120" w:type="dxa"/>
              <w:bottom w:w="80" w:type="dxa"/>
              <w:end w:w="120" w:type="dxa"/>
            </w:tcMar>
            <w:vAlign w:val="center"/>
          </w:tcPr>
          <w:p>
            <w:pPr>
              <w:spacing w:after="0" w:line="252" w:lineRule="auto"/>
            </w:pPr>
            <w:r>
              <w:rPr>
                <w:rFonts w:ascii="Calibri" w:hAnsi="Calibri"/>
                <w:color w:val="000000"/>
                <w:sz w:val="17"/>
              </w:rPr>
              <w:t>4</w:t>
            </w:r>
          </w:p>
        </w:tc>
        <w:tc>
          <w:tcPr>
            <w:tcW w:type="dxa" w:w="1150"/>
            <w:tcMar>
              <w:top w:w="80" w:type="dxa"/>
              <w:start w:w="120" w:type="dxa"/>
              <w:bottom w:w="80" w:type="dxa"/>
              <w:end w:w="120" w:type="dxa"/>
            </w:tcMar>
            <w:vAlign w:val="center"/>
          </w:tcPr>
          <w:p>
            <w:pPr>
              <w:spacing w:after="0" w:line="252" w:lineRule="auto"/>
            </w:pPr>
            <w:r>
              <w:rPr>
                <w:rFonts w:ascii="Calibri" w:hAnsi="Calibri"/>
                <w:color w:val="000000"/>
                <w:sz w:val="17"/>
              </w:rPr>
              <w:t>−802.1</w:t>
            </w:r>
          </w:p>
        </w:tc>
        <w:tc>
          <w:tcPr>
            <w:tcW w:type="dxa" w:w="900"/>
            <w:tcMar>
              <w:top w:w="80" w:type="dxa"/>
              <w:start w:w="120" w:type="dxa"/>
              <w:bottom w:w="80" w:type="dxa"/>
              <w:end w:w="120" w:type="dxa"/>
            </w:tcMar>
            <w:vAlign w:val="center"/>
          </w:tcPr>
          <w:p>
            <w:pPr>
              <w:spacing w:after="0" w:line="252" w:lineRule="auto"/>
            </w:pPr>
            <w:r>
              <w:rPr>
                <w:rFonts w:ascii="Calibri" w:hAnsi="Calibri"/>
                <w:color w:val="000000"/>
                <w:sz w:val="17"/>
              </w:rPr>
              <w:t>17.4</w:t>
            </w:r>
          </w:p>
        </w:tc>
        <w:tc>
          <w:tcPr>
            <w:tcW w:type="dxa" w:w="1100"/>
            <w:tcMar>
              <w:top w:w="80" w:type="dxa"/>
              <w:start w:w="120" w:type="dxa"/>
              <w:bottom w:w="80" w:type="dxa"/>
              <w:end w:w="120" w:type="dxa"/>
            </w:tcMar>
            <w:vAlign w:val="center"/>
          </w:tcPr>
          <w:p>
            <w:pPr>
              <w:spacing w:after="0" w:line="252" w:lineRule="auto"/>
            </w:pPr>
            <w:r>
              <w:rPr>
                <w:rFonts w:ascii="Calibri" w:hAnsi="Calibri"/>
                <w:color w:val="000000"/>
                <w:sz w:val="17"/>
              </w:rPr>
              <w:t>1.007</w:t>
            </w:r>
          </w:p>
        </w:tc>
        <w:tc>
          <w:tcPr>
            <w:tcW w:type="dxa" w:w="1050"/>
            <w:tcMar>
              <w:top w:w="80" w:type="dxa"/>
              <w:start w:w="120" w:type="dxa"/>
              <w:bottom w:w="80" w:type="dxa"/>
              <w:end w:w="120" w:type="dxa"/>
            </w:tcMar>
            <w:vAlign w:val="center"/>
          </w:tcPr>
          <w:p>
            <w:pPr>
              <w:spacing w:after="0" w:line="252" w:lineRule="auto"/>
            </w:pPr>
            <w:r>
              <w:rPr>
                <w:rFonts w:ascii="Calibri" w:hAnsi="Calibri"/>
                <w:color w:val="000000"/>
                <w:sz w:val="17"/>
              </w:rPr>
              <w:t>0</w:t>
            </w:r>
          </w:p>
        </w:tc>
        <w:tc>
          <w:tcPr>
            <w:tcW w:type="dxa" w:w="4560"/>
            <w:tcMar>
              <w:top w:w="80" w:type="dxa"/>
              <w:start w:w="120" w:type="dxa"/>
              <w:bottom w:w="80" w:type="dxa"/>
              <w:end w:w="120" w:type="dxa"/>
            </w:tcMar>
            <w:vAlign w:val="center"/>
          </w:tcPr>
          <w:p>
            <w:pPr>
              <w:spacing w:after="0" w:line="252" w:lineRule="auto"/>
            </w:pPr>
            <w:r>
              <w:rPr>
                <w:rFonts w:ascii="Calibri" w:hAnsi="Calibri"/>
                <w:color w:val="000000"/>
                <w:sz w:val="17"/>
              </w:rPr>
              <w:t>Computationally acceptable, older panel</w:t>
            </w:r>
          </w:p>
        </w:tc>
      </w:tr>
      <w:tr>
        <w:tc>
          <w:tcPr>
            <w:tcW w:type="dxa" w:w="600"/>
            <w:tcMar>
              <w:top w:w="80" w:type="dxa"/>
              <w:start w:w="120" w:type="dxa"/>
              <w:bottom w:w="80" w:type="dxa"/>
              <w:end w:w="120" w:type="dxa"/>
            </w:tcMar>
            <w:vAlign w:val="center"/>
          </w:tcPr>
          <w:p>
            <w:pPr>
              <w:spacing w:after="0" w:line="252" w:lineRule="auto"/>
            </w:pPr>
            <w:r>
              <w:rPr>
                <w:rFonts w:ascii="Calibri" w:hAnsi="Calibri"/>
                <w:color w:val="000000"/>
                <w:sz w:val="17"/>
              </w:rPr>
              <w:t>5</w:t>
            </w:r>
          </w:p>
        </w:tc>
        <w:tc>
          <w:tcPr>
            <w:tcW w:type="dxa" w:w="1150"/>
            <w:tcMar>
              <w:top w:w="80" w:type="dxa"/>
              <w:start w:w="120" w:type="dxa"/>
              <w:bottom w:w="80" w:type="dxa"/>
              <w:end w:w="120" w:type="dxa"/>
            </w:tcMar>
            <w:vAlign w:val="center"/>
          </w:tcPr>
          <w:p>
            <w:pPr>
              <w:spacing w:after="0" w:line="252" w:lineRule="auto"/>
            </w:pPr>
            <w:r>
              <w:rPr>
                <w:rFonts w:ascii="Calibri" w:hAnsi="Calibri"/>
                <w:color w:val="000000"/>
                <w:sz w:val="17"/>
              </w:rPr>
              <w:t>−815.1</w:t>
            </w:r>
          </w:p>
        </w:tc>
        <w:tc>
          <w:tcPr>
            <w:tcW w:type="dxa" w:w="900"/>
            <w:tcMar>
              <w:top w:w="80" w:type="dxa"/>
              <w:start w:w="120" w:type="dxa"/>
              <w:bottom w:w="80" w:type="dxa"/>
              <w:end w:w="120" w:type="dxa"/>
            </w:tcMar>
            <w:vAlign w:val="center"/>
          </w:tcPr>
          <w:p>
            <w:pPr>
              <w:spacing w:after="0" w:line="252" w:lineRule="auto"/>
            </w:pPr>
            <w:r>
              <w:rPr>
                <w:rFonts w:ascii="Calibri" w:hAnsi="Calibri"/>
                <w:color w:val="000000"/>
                <w:sz w:val="17"/>
              </w:rPr>
              <w:t>25.5</w:t>
            </w:r>
          </w:p>
        </w:tc>
        <w:tc>
          <w:tcPr>
            <w:tcW w:type="dxa" w:w="1100"/>
            <w:tcMar>
              <w:top w:w="80" w:type="dxa"/>
              <w:start w:w="120" w:type="dxa"/>
              <w:bottom w:w="80" w:type="dxa"/>
              <w:end w:w="120" w:type="dxa"/>
            </w:tcMar>
            <w:vAlign w:val="center"/>
          </w:tcPr>
          <w:p>
            <w:pPr>
              <w:spacing w:after="0" w:line="252" w:lineRule="auto"/>
            </w:pPr>
            <w:r>
              <w:rPr>
                <w:rFonts w:ascii="Calibri" w:hAnsi="Calibri"/>
                <w:color w:val="000000"/>
                <w:sz w:val="17"/>
              </w:rPr>
              <w:t>2.148</w:t>
            </w:r>
          </w:p>
        </w:tc>
        <w:tc>
          <w:tcPr>
            <w:tcW w:type="dxa" w:w="1050"/>
            <w:tcMar>
              <w:top w:w="80" w:type="dxa"/>
              <w:start w:w="120" w:type="dxa"/>
              <w:bottom w:w="80" w:type="dxa"/>
              <w:end w:w="120" w:type="dxa"/>
            </w:tcMar>
            <w:vAlign w:val="center"/>
          </w:tcPr>
          <w:p>
            <w:pPr>
              <w:spacing w:after="0" w:line="252" w:lineRule="auto"/>
            </w:pPr>
            <w:r>
              <w:rPr>
                <w:rFonts w:ascii="Calibri" w:hAnsi="Calibri"/>
                <w:color w:val="000000"/>
                <w:sz w:val="17"/>
              </w:rPr>
              <w:t>0</w:t>
            </w:r>
          </w:p>
        </w:tc>
        <w:tc>
          <w:tcPr>
            <w:tcW w:type="dxa" w:w="4560"/>
            <w:tcMar>
              <w:top w:w="80" w:type="dxa"/>
              <w:start w:w="120" w:type="dxa"/>
              <w:bottom w:w="80" w:type="dxa"/>
              <w:end w:w="120" w:type="dxa"/>
            </w:tcMar>
            <w:vAlign w:val="center"/>
          </w:tcPr>
          <w:p>
            <w:pPr>
              <w:spacing w:after="0" w:line="252" w:lineRule="auto"/>
            </w:pPr>
            <w:r>
              <w:rPr>
                <w:rFonts w:ascii="Calibri" w:hAnsi="Calibri"/>
                <w:color w:val="000000"/>
                <w:sz w:val="17"/>
              </w:rPr>
              <w:t>Severely unmixed</w:t>
            </w:r>
          </w:p>
        </w:tc>
      </w:tr>
    </w:tbl>
    <w:p>
      <w:pPr>
        <w:spacing w:after="40"/>
      </w:pPr>
    </w:p>
    <w:p>
      <w:pPr>
        <w:keepLines w:val="0"/>
        <w:spacing w:before="0" w:after="120" w:line="264" w:lineRule="auto"/>
      </w:pPr>
      <w:r>
        <w:rPr>
          <w:rFonts w:ascii="Calibri" w:hAnsi="Calibri"/>
          <w:b w:val="0"/>
          <w:i w:val="0"/>
          <w:color w:val="000000"/>
          <w:sz w:val="22"/>
        </w:rPr>
        <w:t>It is not valid to conclude that K=4 is the scientifically correct number of regimes simply because it is the only fit that mixed. Nonconvergence can reflect parameterization or multimodality, not misspecification; extra states can absorb emission misspecification [R6]. The documentation’s dismissal of a K=5 low-cell/high-closure state as 'impossible' also contradicts the later factorial argument that toxicity can be high at a given biomass because quota and tissue persistence differ.</w:t>
      </w:r>
    </w:p>
    <w:p>
      <w:pPr>
        <w:spacing w:before="40" w:after="140" w:line="252" w:lineRule="auto"/>
        <w:ind w:left="259" w:right="144"/>
        <w:shd w:fill="F7F8FA"/>
      </w:pPr>
      <w:r>
        <w:rPr>
          <w:rFonts w:ascii="Calibri" w:hAnsi="Calibri"/>
          <w:b/>
          <w:color w:val="5B6770"/>
          <w:sz w:val="18"/>
        </w:rPr>
        <w:t xml:space="preserve">Repository evidence — </w:t>
      </w:r>
      <w:r>
        <w:rPr>
          <w:rFonts w:ascii="Courier New" w:hAnsi="Courier New"/>
          <w:color w:val="000000"/>
          <w:sz w:val="18"/>
        </w:rPr>
        <w:t>scripts/01_fit_worldmodel.py:47–96; data/output/worldmodel_kscan.csv; saved NetCDF diagnostics.</w:t>
      </w:r>
    </w:p>
    <w:p>
      <w:pPr>
        <w:pStyle w:val="Heading2"/>
        <w:keepNext/>
        <w:pageBreakBefore w:val="0"/>
      </w:pPr>
      <w:r>
        <w:rPr>
          <w:rFonts w:ascii="Calibri" w:hAnsi="Calibri"/>
          <w:b/>
          <w:color w:val="2E74B5"/>
          <w:sz w:val="26"/>
        </w:rPr>
        <w:t>4.7 Seasonal scalar model</w:t>
      </w:r>
    </w:p>
    <w:p>
      <w:pPr>
        <w:keepLines w:val="0"/>
        <w:spacing w:before="0" w:after="120" w:line="264" w:lineRule="auto"/>
      </w:pPr>
      <w:r>
        <w:rPr>
          <w:rFonts w:ascii="Calibri" w:hAnsi="Calibri"/>
          <w:b w:val="0"/>
          <w:i w:val="0"/>
          <w:color w:val="000000"/>
          <w:sz w:val="22"/>
        </w:rPr>
        <w:t>The seasonal model replaces each adjacent log-rate with an intercept plus Fourier terms. For harmonic h and week bin w:</w:t>
      </w:r>
    </w:p>
    <w:p>
      <w:pPr>
        <w:keepLines/>
        <w:spacing w:before="100" w:after="160"/>
        <w:jc w:val="center"/>
      </w:pPr>
      <w:r>
        <w:rPr>
          <w:rFonts w:ascii="Cambria Math" w:hAnsi="Cambria Math"/>
          <w:i/>
          <w:color w:val="172B3A"/>
          <w:sz w:val="23"/>
        </w:rPr>
        <w:t>log uᵢ(w) = βᵘᵢ0 + Σₕ[βᵘᵢh,c cos(2πhw/52.1786) + βᵘᵢh,s sin(2πhw/52.1786)]</w:t>
      </w:r>
    </w:p>
    <w:p>
      <w:pPr>
        <w:keepLines w:val="0"/>
        <w:spacing w:before="0" w:after="120" w:line="264" w:lineRule="auto"/>
      </w:pPr>
      <w:r>
        <w:rPr>
          <w:rFonts w:ascii="Calibri" w:hAnsi="Calibri"/>
          <w:b w:val="0"/>
          <w:i w:val="0"/>
          <w:color w:val="000000"/>
          <w:sz w:val="22"/>
        </w:rPr>
        <w:t>Because Q varies, a multi-week transition is an ordered product rather than a matrix power:</w:t>
      </w:r>
    </w:p>
    <w:p>
      <w:pPr>
        <w:keepLines/>
        <w:spacing w:before="100" w:after="160"/>
        <w:jc w:val="center"/>
      </w:pPr>
      <w:r>
        <w:rPr>
          <w:rFonts w:ascii="Cambria Math" w:hAnsi="Cambria Math"/>
          <w:i/>
          <w:color w:val="172B3A"/>
          <w:sz w:val="23"/>
        </w:rPr>
        <w:t>P(t→t+g) = Πᵣ₌₁…g exp(Q(wₜ₊ᵣ))</w:t>
      </w:r>
    </w:p>
    <w:p>
      <w:pPr>
        <w:keepLines w:val="0"/>
        <w:spacing w:before="0" w:after="120" w:line="264" w:lineRule="auto"/>
      </w:pPr>
      <w:r>
        <w:rPr>
          <w:rFonts w:ascii="Calibri" w:hAnsi="Calibri"/>
          <w:b w:val="0"/>
          <w:i w:val="0"/>
          <w:color w:val="000000"/>
          <w:sz w:val="22"/>
        </w:rPr>
        <w:t>The code correctly propagates through unobserved grid weeks and distinguishes frozen-rate equilibrium from propagated prevalence. However, periodic_occupancy cycles through 53 full one-week matrices, a 371-day model year, while the harmonic period is 365.25 days and calendar bin 52 represents only the year-end remainder. Actual Monday grids can repeat or skip bins across leap years. The exported 53-bin curve is therefore a useful diagnostic approximation—not the 'TRUE' calendar-specific seasonal occupancy claimed in comments.</w:t>
      </w:r>
    </w:p>
    <w:p>
      <w:pPr>
        <w:keepLines/>
        <w:spacing w:before="100" w:after="160"/>
        <w:jc w:val="center"/>
      </w:pPr>
      <w:r>
        <w:rPr>
          <w:rFonts w:ascii="Cambria Math" w:hAnsi="Cambria Math"/>
          <w:i/>
          <w:color w:val="172B3A"/>
          <w:sz w:val="23"/>
        </w:rPr>
        <w:t>π_w = π_{w−1} P_w, cyclically; a calendar-correct cycle must preserve actual interval lengths</w:t>
      </w:r>
    </w:p>
    <w:p>
      <w:pPr>
        <w:spacing w:before="40" w:after="140" w:line="252" w:lineRule="auto"/>
        <w:ind w:left="259" w:right="144"/>
        <w:shd w:fill="F7F8FA"/>
      </w:pPr>
      <w:r>
        <w:rPr>
          <w:rFonts w:ascii="Calibri" w:hAnsi="Calibri"/>
          <w:b/>
          <w:color w:val="5B6770"/>
          <w:sz w:val="18"/>
        </w:rPr>
        <w:t xml:space="preserve">Repository evidence — </w:t>
      </w:r>
      <w:r>
        <w:rPr>
          <w:rFonts w:ascii="Courier New" w:hAnsi="Courier New"/>
          <w:color w:val="000000"/>
          <w:sz w:val="18"/>
        </w:rPr>
        <w:t>seasonal.py:26–43, 46–85, 190–217; scripts/02_fit_seasonal.py:73–106.</w:t>
      </w:r>
    </w:p>
    <w:p>
      <w:pPr>
        <w:pStyle w:val="Heading2"/>
        <w:keepNext/>
        <w:pageBreakBefore w:val="0"/>
      </w:pPr>
      <w:r>
        <w:rPr>
          <w:rFonts w:ascii="Calibri" w:hAnsi="Calibri"/>
          <w:b/>
          <w:color w:val="2E74B5"/>
          <w:sz w:val="26"/>
        </w:rPr>
        <w:t>4.8 Ordinary PSIS-LOO and leave-future-out</w:t>
      </w:r>
    </w:p>
    <w:p>
      <w:pPr>
        <w:keepLines w:val="0"/>
        <w:spacing w:before="0" w:after="120" w:line="264" w:lineRule="auto"/>
      </w:pPr>
      <w:r>
        <w:rPr>
          <w:rFonts w:ascii="Calibri" w:hAnsi="Calibri"/>
          <w:b w:val="0"/>
          <w:i w:val="0"/>
          <w:color w:val="000000"/>
          <w:sz w:val="22"/>
        </w:rPr>
        <w:t>Each forward scaling constant is a valid one-step conditional density p(yₜ|y&lt;ₜ,θ), and their sum is the exact joint log likelihood. That does not make ordinary pointwise PSIS-LOO a genuine leave-one-observation-out score. Removing the factor at t does not remove yₜ from the filter used to form later factors. The resulting ArviZ score is a factor-influence diagnostic, not deployment forecasting.</w:t>
      </w:r>
    </w:p>
    <w:p>
      <w:pPr>
        <w:keepLines/>
        <w:spacing w:before="100" w:after="160"/>
        <w:jc w:val="center"/>
      </w:pPr>
      <w:r>
        <w:rPr>
          <w:rFonts w:ascii="Cambria Math" w:hAnsi="Cambria Math"/>
          <w:i/>
          <w:color w:val="172B3A"/>
          <w:sz w:val="23"/>
        </w:rPr>
        <w:t>ELPD_LFO = Σᵢ log p(yᵢ₊₁:ᵢ₊M | y₁:ᵢ)</w:t>
      </w:r>
    </w:p>
    <w:p>
      <w:pPr>
        <w:keepLines w:val="0"/>
        <w:spacing w:before="0" w:after="120" w:line="264" w:lineRule="auto"/>
      </w:pPr>
      <w:r>
        <w:rPr>
          <w:rFonts w:ascii="Calibri" w:hAnsi="Calibri"/>
          <w:b w:val="0"/>
          <w:i w:val="0"/>
          <w:color w:val="000000"/>
          <w:sz w:val="22"/>
        </w:rPr>
        <w:t>LFO is the appropriate target when the task is future prediction [R2]. The repository has a plausible generic PSIS-LFO utility, with importance ratios</w:t>
      </w:r>
    </w:p>
    <w:p>
      <w:pPr>
        <w:keepLines/>
        <w:spacing w:before="100" w:after="160"/>
        <w:jc w:val="center"/>
      </w:pPr>
      <w:r>
        <w:rPr>
          <w:rFonts w:ascii="Cambria Math" w:hAnsi="Cambria Math"/>
          <w:i/>
          <w:color w:val="172B3A"/>
          <w:sz w:val="23"/>
        </w:rPr>
        <w:t>rᵢ⁽ˢ⁾ ∝ Πⱼ₌ᵢ*₊₁…ᵢ p(yⱼ | y&lt;ⱼ, θ⁽ˢ⁾)</w:t>
      </w:r>
    </w:p>
    <w:p>
      <w:pPr>
        <w:keepLines w:val="0"/>
        <w:spacing w:before="0" w:after="120" w:line="264" w:lineRule="auto"/>
      </w:pPr>
      <w:r>
        <w:rPr>
          <w:rFonts w:ascii="Calibri" w:hAnsi="Calibri"/>
          <w:b w:val="0"/>
          <w:i w:val="0"/>
          <w:color w:val="000000"/>
          <w:sz w:val="22"/>
        </w:rPr>
        <w:t>but no checked-in workflow fits the stationary or seasonal model only through cutoff i, calls psis_lfo, persists refit locations and Pareto diagnostics, or produces the reported +5.0±2.8 seasonal result. The seasonal script still writes ordinary PSIS-LOO. PSIS itself is sensitive to heavy-tailed ratios and requires reported Pareto-k diagnostics [R3]. Calling the undocumented result 'unbiased' is too strong; approximate LFO can still have importance-sampling and finite-sample error, and the reported standard error ignores serial dependence.</w:t>
      </w:r>
    </w:p>
    <w:p>
      <w:pPr>
        <w:spacing w:before="40" w:after="140" w:line="252" w:lineRule="auto"/>
        <w:ind w:left="259" w:right="144"/>
        <w:shd w:fill="F7F8FA"/>
      </w:pPr>
      <w:r>
        <w:rPr>
          <w:rFonts w:ascii="Calibri" w:hAnsi="Calibri"/>
          <w:b/>
          <w:color w:val="5B6770"/>
          <w:sz w:val="18"/>
        </w:rPr>
        <w:t xml:space="preserve">Repository evidence — </w:t>
      </w:r>
      <w:r>
        <w:rPr>
          <w:rFonts w:ascii="Courier New" w:hAnsi="Courier New"/>
          <w:color w:val="000000"/>
          <w:sz w:val="18"/>
        </w:rPr>
        <w:t>lfo.py:61–98 exists. rg finds no call to psis_lfo outside its definition. README reproduction omits LFO, factorial, and kinetics.</w:t>
      </w:r>
    </w:p>
    <w:p>
      <w:pPr>
        <w:pStyle w:val="Heading2"/>
        <w:keepNext/>
        <w:pageBreakBefore w:val="0"/>
      </w:pPr>
      <w:r>
        <w:rPr>
          <w:rFonts w:ascii="Calibri" w:hAnsi="Calibri"/>
          <w:b/>
          <w:color w:val="2E74B5"/>
          <w:sz w:val="26"/>
        </w:rPr>
        <w:t>4.9 Factorial biomass × toxin-propensity model</w:t>
      </w:r>
    </w:p>
    <w:p>
      <w:pPr>
        <w:keepLines w:val="0"/>
        <w:spacing w:before="0" w:after="120" w:line="264" w:lineRule="auto"/>
      </w:pPr>
      <w:r>
        <w:rPr>
          <w:rFonts w:ascii="Calibri" w:hAnsi="Calibri"/>
          <w:b w:val="0"/>
          <w:i w:val="0"/>
          <w:color w:val="000000"/>
          <w:sz w:val="22"/>
        </w:rPr>
        <w:t>The newer model separates a biomass state B and a toxigenic-propensity state Q. Its structural motivation is sound: particulate DA is approximately biomass multiplied by toxin per cell, so on the log scale</w:t>
      </w:r>
    </w:p>
    <w:p>
      <w:pPr>
        <w:keepLines/>
        <w:spacing w:before="100" w:after="160"/>
        <w:jc w:val="center"/>
      </w:pPr>
      <w:r>
        <w:rPr>
          <w:rFonts w:ascii="Cambria Math" w:hAnsi="Cambria Math"/>
          <w:i/>
          <w:color w:val="172B3A"/>
          <w:sz w:val="23"/>
        </w:rPr>
        <w:t>log₁₀(pDA) = log₁₀(B) + log₁₀(Q) + measurement error</w:t>
      </w:r>
    </w:p>
    <w:p>
      <w:pPr>
        <w:keepLines w:val="0"/>
        <w:spacing w:before="0" w:after="120" w:line="264" w:lineRule="auto"/>
      </w:pPr>
      <w:r>
        <w:rPr>
          <w:rFonts w:ascii="Calibri" w:hAnsi="Calibri"/>
          <w:b w:val="0"/>
          <w:i w:val="0"/>
          <w:color w:val="000000"/>
          <w:sz w:val="22"/>
        </w:rPr>
        <w:t>With independent birth–death chains, the joint generator is a Kronecker sum and the transition factorizes:</w:t>
      </w:r>
    </w:p>
    <w:p>
      <w:pPr>
        <w:keepLines/>
        <w:spacing w:before="100" w:after="160"/>
        <w:jc w:val="center"/>
      </w:pPr>
      <w:r>
        <w:rPr>
          <w:rFonts w:ascii="Cambria Math" w:hAnsi="Cambria Math"/>
          <w:i/>
          <w:color w:val="172B3A"/>
          <w:sz w:val="23"/>
        </w:rPr>
        <w:t>Q_joint = Q_B ⊕ Q_Q,   P_joint(g) = P_B(g) ⊗ P_Q(g)</w:t>
      </w:r>
    </w:p>
    <w:p>
      <w:pPr>
        <w:keepLines w:val="0"/>
        <w:spacing w:before="0" w:after="120" w:line="264" w:lineRule="auto"/>
      </w:pPr>
      <w:r>
        <w:rPr>
          <w:rFonts w:ascii="Calibri" w:hAnsi="Calibri"/>
          <w:b w:val="0"/>
          <w:i w:val="0"/>
          <w:color w:val="000000"/>
          <w:sz w:val="22"/>
        </w:rPr>
        <w:t>The saved continuous-tissue K_B=3 × K_Q=2 trace has max R-hat 1.008, zero divergences, minimum bulk ESS 466, and minimum tail ESS 588. Posterior mean biomass levels are about 10^2.213, 10^3.174, and 10^4.601 cells/L. The quota offsets differ by 0.973 log₁₀ units (about 9.4×). These are credible properties of this fitted model.</w:t>
      </w:r>
    </w:p>
    <w:p>
      <w:pPr>
        <w:keepLines w:val="0"/>
        <w:spacing w:before="0" w:after="120" w:line="264" w:lineRule="auto"/>
      </w:pPr>
      <w:r>
        <w:rPr>
          <w:rFonts w:ascii="Calibri" w:hAnsi="Calibri"/>
          <w:b w:val="0"/>
          <w:i w:val="0"/>
          <w:color w:val="000000"/>
          <w:sz w:val="22"/>
        </w:rPr>
        <w:t>The most important misspecification risk is conditional independence. Actual pDA is the product of actual continuous biomass and quota. The model lets observed cells and pDA have independent residuals after conditioning on coarse B and Q states. Within-state positive deviations in cell abundance should also raise pDA; ignoring that shared residual can inflate pDA noise, create artificial Q switches, and understate the information carried by cell counts. A coherent alternative is</w:t>
      </w:r>
    </w:p>
    <w:p>
      <w:pPr>
        <w:keepLines/>
        <w:spacing w:before="100" w:after="160"/>
        <w:jc w:val="center"/>
      </w:pPr>
      <w:r>
        <w:rPr>
          <w:rFonts w:ascii="Cambria Math" w:hAnsi="Cambria Math"/>
          <w:i/>
          <w:color w:val="172B3A"/>
          <w:sz w:val="23"/>
        </w:rPr>
        <w:t>X_B,t = μ_B[stateₜ] + η_B,t</w:t>
      </w:r>
    </w:p>
    <w:p>
      <w:pPr>
        <w:keepLines/>
        <w:spacing w:before="100" w:after="160"/>
        <w:jc w:val="center"/>
      </w:pPr>
      <w:r>
        <w:rPr>
          <w:rFonts w:ascii="Cambria Math" w:hAnsi="Cambria Math"/>
          <w:i/>
          <w:color w:val="172B3A"/>
          <w:sz w:val="23"/>
        </w:rPr>
        <w:t>log cellsₜ = X_B,t + ε_cell,t;   log pDAₜ = X_B,t + X_Q,t + ε_pDA,t</w:t>
      </w:r>
    </w:p>
    <w:p>
      <w:pPr>
        <w:keepLines w:val="0"/>
        <w:spacing w:before="0" w:after="120" w:line="264" w:lineRule="auto"/>
      </w:pPr>
      <w:r>
        <w:rPr>
          <w:rFonts w:ascii="Calibri" w:hAnsi="Calibri"/>
          <w:b w:val="0"/>
          <w:i w:val="0"/>
          <w:color w:val="000000"/>
          <w:sz w:val="22"/>
        </w:rPr>
        <w:t>The assumed independence of the B and Q transition chains is also untested. Environmental conditions can jointly drive abundance and toxigenicity. A coupled joint generator or covariate-dependent Q process should be compared.</w:t>
      </w:r>
    </w:p>
    <w:p>
      <w:pPr>
        <w:spacing w:before="40" w:after="140" w:line="252" w:lineRule="auto"/>
        <w:ind w:left="259" w:right="144"/>
        <w:shd w:fill="F7F8FA"/>
      </w:pPr>
      <w:r>
        <w:rPr>
          <w:rFonts w:ascii="Calibri" w:hAnsi="Calibri"/>
          <w:b/>
          <w:color w:val="5B6770"/>
          <w:sz w:val="18"/>
        </w:rPr>
        <w:t xml:space="preserve">Repository evidence — </w:t>
      </w:r>
      <w:r>
        <w:rPr>
          <w:rFonts w:ascii="Courier New" w:hAnsi="Courier New"/>
          <w:color w:val="000000"/>
          <w:sz w:val="18"/>
        </w:rPr>
        <w:t>factorial.py:1–27 and 94–220. Current positive SCW pairs: n=172, correlation 0.742, slope log pDA on log cells 0.733.</w:t>
      </w:r>
    </w:p>
    <w:p>
      <w:pPr>
        <w:pStyle w:val="Heading2"/>
        <w:keepNext/>
        <w:pageBreakBefore w:val="0"/>
      </w:pPr>
      <w:r>
        <w:rPr>
          <w:rFonts w:ascii="Calibri" w:hAnsi="Calibri"/>
          <w:b/>
          <w:color w:val="2E74B5"/>
          <w:sz w:val="26"/>
        </w:rPr>
        <w:t>4.10 Continuous tissue link in the factorial model</w:t>
      </w:r>
    </w:p>
    <w:p>
      <w:pPr>
        <w:keepLines w:val="0"/>
        <w:spacing w:before="0" w:after="120" w:line="264" w:lineRule="auto"/>
      </w:pPr>
      <w:r>
        <w:rPr>
          <w:rFonts w:ascii="Calibri" w:hAnsi="Calibri"/>
          <w:b w:val="0"/>
          <w:i w:val="0"/>
          <w:color w:val="000000"/>
          <w:sz w:val="22"/>
        </w:rPr>
        <w:t>For joint state j, the factorial model maps exposure eⱼ=μ_B+ν_Q to a median tissue burden Hⱼ and uses a left-censored lognormal observation model:</w:t>
      </w:r>
    </w:p>
    <w:p>
      <w:pPr>
        <w:keepLines/>
        <w:spacing w:before="100" w:after="160"/>
        <w:jc w:val="center"/>
      </w:pPr>
      <w:r>
        <w:rPr>
          <w:rFonts w:ascii="Cambria Math" w:hAnsi="Cambria Math"/>
          <w:i/>
          <w:color w:val="172B3A"/>
          <w:sz w:val="23"/>
        </w:rPr>
        <w:t>Hⱼ = H_bg + exp(c) 10ᵉʲ</w:t>
      </w:r>
    </w:p>
    <w:p>
      <w:pPr>
        <w:keepLines/>
        <w:spacing w:before="100" w:after="160"/>
        <w:jc w:val="center"/>
      </w:pPr>
      <w:r>
        <w:rPr>
          <w:rFonts w:ascii="Cambria Math" w:hAnsi="Cambria Math"/>
          <w:i/>
          <w:color w:val="172B3A"/>
          <w:sz w:val="23"/>
        </w:rPr>
        <w:t>P(Y&lt;LOD | j) = Φ((log LOD − log Hⱼ)/σ_tissue)</w:t>
      </w:r>
    </w:p>
    <w:p>
      <w:pPr>
        <w:keepLines/>
        <w:spacing w:before="100" w:after="160"/>
        <w:jc w:val="center"/>
      </w:pPr>
      <w:r>
        <w:rPr>
          <w:rFonts w:ascii="Cambria Math" w:hAnsi="Cambria Math"/>
          <w:i/>
          <w:color w:val="172B3A"/>
          <w:sz w:val="23"/>
        </w:rPr>
        <w:t>P(Y≥20 | j) = 1 − Φ((log 20 − log Hⱼ)/σ_tissue)</w:t>
      </w:r>
    </w:p>
    <w:p>
      <w:pPr>
        <w:keepLines w:val="0"/>
        <w:spacing w:before="0" w:after="120" w:line="264" w:lineRule="auto"/>
      </w:pPr>
      <w:r>
        <w:rPr>
          <w:rFonts w:ascii="Calibri" w:hAnsi="Calibri"/>
          <w:b w:val="0"/>
          <w:i w:val="0"/>
          <w:color w:val="000000"/>
          <w:sz w:val="22"/>
        </w:rPr>
        <w:t>The saved trace implies mean closure probabilities from essentially zero through 33.0% in the highest B/highest Q state. At the same highest biomass, posterior mean closure risk is 0.8% at low Q and 33.0% at high Q. This is a useful model-based contrast. It is not yet an empirically validated risk calibration. The model assigns tissue the state mean exposure rather than the observed pDA residual, so large closures can be pushed into σ_tissue (posterior mean 1.10 on the natural-log scale). The claim that closure is biologically a 'tail event' may therefore be partly an artifact of coarse states and omitted exposure variation.</w:t>
      </w:r>
    </w:p>
    <w:p>
      <w:pPr>
        <w:keepLines w:val="0"/>
        <w:spacing w:before="0" w:after="120" w:line="264" w:lineRule="auto"/>
      </w:pPr>
      <w:r>
        <w:rPr>
          <w:rFonts w:ascii="Calibri" w:hAnsi="Calibri"/>
          <w:b w:val="0"/>
          <w:i w:val="0"/>
          <w:color w:val="000000"/>
          <w:sz w:val="22"/>
        </w:rPr>
        <w:t>The saved factorial NetCDF has no per-observation log likelihood, posterior predictive draws, data hash, site, radius, timestamp metadata, or executable fit script. Its numerical summaries are inspectable but not independently regenerable from a documented command.</w:t>
      </w:r>
    </w:p>
    <w:p>
      <w:pPr>
        <w:pStyle w:val="Heading2"/>
        <w:keepNext/>
        <w:pageBreakBefore w:val="0"/>
      </w:pPr>
      <w:r>
        <w:rPr>
          <w:rFonts w:ascii="Calibri" w:hAnsi="Calibri"/>
          <w:b/>
          <w:color w:val="2E74B5"/>
          <w:sz w:val="26"/>
        </w:rPr>
        <w:t>4.11 One-compartment tissue kinetics</w:t>
      </w:r>
    </w:p>
    <w:p>
      <w:pPr>
        <w:keepLines w:val="0"/>
        <w:spacing w:before="0" w:after="120" w:line="264" w:lineRule="auto"/>
      </w:pPr>
      <w:r>
        <w:rPr>
          <w:rFonts w:ascii="Calibri" w:hAnsi="Calibri"/>
          <w:b w:val="0"/>
          <w:i w:val="0"/>
          <w:color w:val="000000"/>
          <w:sz w:val="22"/>
        </w:rPr>
        <w:t>The separate kinetic model uses exact dates and treats tissue DA as a stock H driven by piecewise-constant pDA exposure E:</w:t>
      </w:r>
    </w:p>
    <w:p>
      <w:pPr>
        <w:keepLines/>
        <w:spacing w:before="100" w:after="160"/>
        <w:jc w:val="center"/>
      </w:pPr>
      <w:r>
        <w:rPr>
          <w:rFonts w:ascii="Cambria Math" w:hAnsi="Cambria Math"/>
          <w:i/>
          <w:color w:val="172B3A"/>
          <w:sz w:val="23"/>
        </w:rPr>
        <w:t>dH/dt = αE(t) − kH(t)</w:t>
      </w:r>
    </w:p>
    <w:p>
      <w:pPr>
        <w:keepLines/>
        <w:spacing w:before="100" w:after="160"/>
        <w:jc w:val="center"/>
      </w:pPr>
      <w:r>
        <w:rPr>
          <w:rFonts w:ascii="Cambria Math" w:hAnsi="Cambria Math"/>
          <w:i/>
          <w:color w:val="172B3A"/>
          <w:sz w:val="23"/>
        </w:rPr>
        <w:t>H(t+D) = H(t)e^(−kD) + (αE/k)(1−e^(−kD))</w:t>
      </w:r>
    </w:p>
    <w:p>
      <w:pPr>
        <w:keepLines w:val="0"/>
        <w:spacing w:before="0" w:after="120" w:line="264" w:lineRule="auto"/>
      </w:pPr>
      <w:r>
        <w:rPr>
          <w:rFonts w:ascii="Calibri" w:hAnsi="Calibri"/>
          <w:b w:val="0"/>
          <w:i w:val="0"/>
          <w:color w:val="000000"/>
          <w:sz w:val="22"/>
        </w:rPr>
        <w:t>That recursion is mathematically correct. The exact-date SCW design is favorable: 345 of 355 tissue dates are also water-sample dates, and all 11 closure observations in the water era are within one day of a pDA sample. However, exposure is carried forward until the next water observation, including gaps as long as 55 days. The code has no exposure-process uncertainty and no decay/interpolation for unobserved water.</w:t>
      </w:r>
    </w:p>
    <w:p>
      <w:pPr>
        <w:keepLines w:val="0"/>
        <w:spacing w:before="0" w:after="120" w:line="264" w:lineRule="auto"/>
      </w:pPr>
      <w:r>
        <w:rPr>
          <w:rFonts w:ascii="Calibri" w:hAnsi="Calibri"/>
          <w:b w:val="0"/>
          <w:i w:val="0"/>
          <w:color w:val="000000"/>
          <w:sz w:val="22"/>
        </w:rPr>
        <w:t>The observed-data lognormal log density omits the −log(y) Jacobian. This does not change the posterior or same-data comparisons because y is fixed, but obs_logp is not a complete density on the original scale and should not be mixed with differently transformed scores. The no-memory comparator is described as the k→∞ limit, but with α fixed that limit is zero, not αE; it is a separate static-response model.</w:t>
      </w:r>
    </w:p>
    <w:p>
      <w:pPr>
        <w:keepLines w:val="0"/>
        <w:spacing w:before="0" w:after="120" w:line="264" w:lineRule="auto"/>
      </w:pPr>
      <w:r>
        <w:rPr>
          <w:rFonts w:ascii="Calibri" w:hAnsi="Calibri"/>
          <w:b w:val="0"/>
          <w:i w:val="0"/>
          <w:color w:val="000000"/>
          <w:sz w:val="22"/>
        </w:rPr>
        <w:t>Most importantly, no kinetic trace or fit script is stored. The methodology’s estimates and LFO comparison cannot be verified from the repository. Even if the weekly field data favor short memory, concluding that tissue burden need not be a decision state depends on the decision cadence. A 1.5-day half-life can matter materially for a daily early-warning or closure decision.</w:t>
      </w:r>
    </w:p>
    <w:p>
      <w:pPr>
        <w:spacing w:before="40" w:after="140" w:line="252" w:lineRule="auto"/>
        <w:ind w:left="259" w:right="144"/>
        <w:shd w:fill="F7F8FA"/>
      </w:pPr>
      <w:r>
        <w:rPr>
          <w:rFonts w:ascii="Calibri" w:hAnsi="Calibri"/>
          <w:b/>
          <w:color w:val="5B6770"/>
          <w:sz w:val="18"/>
        </w:rPr>
        <w:t xml:space="preserve">Repository evidence — </w:t>
      </w:r>
      <w:r>
        <w:rPr>
          <w:rFonts w:ascii="Courier New" w:hAnsi="Courier New"/>
          <w:color w:val="000000"/>
          <w:sz w:val="18"/>
        </w:rPr>
        <w:t>tissue.py:63–108 and 111–164. No *tissue*.nc or *kinetic*.nc artifact exists in data/output.</w:t>
      </w:r>
    </w:p>
    <w:p>
      <w:pPr>
        <w:pStyle w:val="Heading2"/>
        <w:keepNext/>
        <w:pageBreakBefore w:val="0"/>
      </w:pPr>
      <w:r>
        <w:rPr>
          <w:rFonts w:ascii="Calibri" w:hAnsi="Calibri"/>
          <w:b/>
          <w:color w:val="2E74B5"/>
          <w:sz w:val="26"/>
        </w:rPr>
        <w:t>4.12 Export boundary</w:t>
      </w:r>
    </w:p>
    <w:p>
      <w:pPr>
        <w:keepLines w:val="0"/>
        <w:spacing w:before="0" w:after="120" w:line="264" w:lineRule="auto"/>
      </w:pPr>
      <w:r>
        <w:rPr>
          <w:rFonts w:ascii="Calibri" w:hAnsi="Calibri"/>
          <w:b w:val="0"/>
          <w:i w:val="0"/>
          <w:color w:val="000000"/>
          <w:sz w:val="22"/>
        </w:rPr>
        <w:t>worldmodel.npz exports posterior draws for the scalar K=4 generator, weekly transition matrices, ordered cell emissions, categorical tissue emissions, and initial distribution. seasonal_worldmodel.npz adds seasonal transition draws. Neither export represents the newer factorial model or continuous tissue risk that the README calls the central result. Neither includes data hashes, configuration, code revision, model formula version, sampling diagnostics, training period, site/radius, or units for every parameter.</w:t>
      </w:r>
    </w:p>
    <w:p>
      <w:pPr>
        <w:spacing w:before="40" w:after="140" w:line="252" w:lineRule="auto"/>
        <w:ind w:left="259" w:right="144"/>
        <w:shd w:fill="F7F8FA"/>
      </w:pPr>
      <w:r>
        <w:rPr>
          <w:rFonts w:ascii="Calibri" w:hAnsi="Calibri"/>
          <w:b/>
          <w:color w:val="5B6770"/>
          <w:sz w:val="18"/>
        </w:rPr>
        <w:t xml:space="preserve">Repository evidence — </w:t>
      </w:r>
      <w:r>
        <w:rPr>
          <w:rFonts w:ascii="Courier New" w:hAnsi="Courier New"/>
          <w:color w:val="000000"/>
          <w:sz w:val="18"/>
        </w:rPr>
        <w:t>export.py:22–41; scripts/02_fit_seasonal.py:73–106; README.md:16–19 and 25–31.</w:t>
      </w:r>
    </w:p>
    <w:p>
      <w:pPr>
        <w:pStyle w:val="Heading1"/>
        <w:keepNext/>
        <w:pageBreakBefore w:val="0"/>
      </w:pPr>
      <w:r>
        <w:rPr>
          <w:rFonts w:ascii="Calibri" w:hAnsi="Calibri"/>
          <w:b/>
          <w:color w:val="2E74B5"/>
          <w:sz w:val="32"/>
        </w:rPr>
        <w:t>5. What is working well</w:t>
      </w:r>
    </w:p>
    <w:p>
      <w:pPr>
        <w:spacing w:before="0" w:after="140" w:line="264" w:lineRule="auto"/>
      </w:pPr>
      <w:r>
        <w:rPr>
          <w:rFonts w:ascii="Calibri" w:hAnsi="Calibri"/>
          <w:b/>
          <w:color w:val="256029"/>
        </w:rPr>
        <w:t xml:space="preserve">Irregular-time structure. </w:t>
      </w:r>
      <w:r>
        <w:rPr>
          <w:rFonts w:ascii="Calibri" w:hAnsi="Calibri"/>
        </w:rPr>
        <w:t>Using exp(ΔQ) is the right foundation for panel observations with unequal gaps [R1].</w:t>
      </w:r>
    </w:p>
    <w:p>
      <w:pPr>
        <w:spacing w:before="0" w:after="140" w:line="264" w:lineRule="auto"/>
      </w:pPr>
      <w:r>
        <w:rPr>
          <w:rFonts w:ascii="Calibri" w:hAnsi="Calibri"/>
          <w:b/>
          <w:color w:val="256029"/>
        </w:rPr>
        <w:t xml:space="preserve">Analytical state marginalization. </w:t>
      </w:r>
      <w:r>
        <w:rPr>
          <w:rFonts w:ascii="Calibri" w:hAnsi="Calibri"/>
        </w:rPr>
        <w:t>The scaled forward algorithm avoids sampling discrete paths and is computationally appropriate.</w:t>
      </w:r>
    </w:p>
    <w:p>
      <w:pPr>
        <w:spacing w:before="0" w:after="140" w:line="264" w:lineRule="auto"/>
      </w:pPr>
      <w:r>
        <w:rPr>
          <w:rFonts w:ascii="Calibri" w:hAnsi="Calibri"/>
          <w:b/>
          <w:color w:val="256029"/>
        </w:rPr>
        <w:t xml:space="preserve">Emission correction. </w:t>
      </w:r>
      <w:r>
        <w:rPr>
          <w:rFonts w:ascii="Calibri" w:hAnsi="Calibri"/>
        </w:rPr>
        <w:t>The hurdle + shared positive-part variance removes a confirmed non-monotone likelihood-ratio pathology.</w:t>
      </w:r>
    </w:p>
    <w:p>
      <w:pPr>
        <w:spacing w:before="0" w:after="140" w:line="264" w:lineRule="auto"/>
      </w:pPr>
      <w:r>
        <w:rPr>
          <w:rFonts w:ascii="Calibri" w:hAnsi="Calibri"/>
          <w:b/>
          <w:color w:val="256029"/>
        </w:rPr>
        <w:t xml:space="preserve">Convergence gating. </w:t>
      </w:r>
      <w:r>
        <w:rPr>
          <w:rFonts w:ascii="Calibri" w:hAnsi="Calibri"/>
        </w:rPr>
        <w:t>The current K-scan script refuses to rank or export unconverged fits.</w:t>
      </w:r>
    </w:p>
    <w:p>
      <w:pPr>
        <w:spacing w:before="0" w:after="140" w:line="264" w:lineRule="auto"/>
      </w:pPr>
      <w:r>
        <w:rPr>
          <w:rFonts w:ascii="Calibri" w:hAnsi="Calibri"/>
          <w:b/>
          <w:color w:val="256029"/>
        </w:rPr>
        <w:t xml:space="preserve">Seasonal propagation. </w:t>
      </w:r>
      <w:r>
        <w:rPr>
          <w:rFonts w:ascii="Calibri" w:hAnsi="Calibri"/>
        </w:rPr>
        <w:t>The code now separates frozen-rate equilibrium from propagated occupancy; only the calendar-cycle implementation needs refinement.</w:t>
      </w:r>
    </w:p>
    <w:p>
      <w:pPr>
        <w:spacing w:before="0" w:after="140" w:line="264" w:lineRule="auto"/>
      </w:pPr>
      <w:r>
        <w:rPr>
          <w:rFonts w:ascii="Calibri" w:hAnsi="Calibri"/>
          <w:b/>
          <w:color w:val="256029"/>
        </w:rPr>
        <w:t xml:space="preserve">Censoring awareness. </w:t>
      </w:r>
      <w:r>
        <w:rPr>
          <w:rFonts w:ascii="Calibri" w:hAnsi="Calibri"/>
        </w:rPr>
        <w:t>The factorial and kinetic models use sample-specific tissue LODs rather than replacing non-detects with fabricated values.</w:t>
      </w:r>
    </w:p>
    <w:p>
      <w:pPr>
        <w:spacing w:before="0" w:after="140" w:line="264" w:lineRule="auto"/>
      </w:pPr>
      <w:r>
        <w:rPr>
          <w:rFonts w:ascii="Calibri" w:hAnsi="Calibri"/>
          <w:b/>
          <w:color w:val="256029"/>
        </w:rPr>
        <w:t xml:space="preserve">Factorial scientific hypothesis. </w:t>
      </w:r>
      <w:r>
        <w:rPr>
          <w:rFonts w:ascii="Calibri" w:hAnsi="Calibri"/>
        </w:rPr>
        <w:t>Separating biomass and toxigenic propensity is more biologically credible than a single scalar severity state.</w:t>
      </w:r>
    </w:p>
    <w:p>
      <w:pPr>
        <w:spacing w:before="0" w:after="140" w:line="264" w:lineRule="auto"/>
      </w:pPr>
      <w:r>
        <w:rPr>
          <w:rFonts w:ascii="Calibri" w:hAnsi="Calibri"/>
          <w:b/>
          <w:color w:val="256029"/>
        </w:rPr>
        <w:t xml:space="preserve">Posterior uncertainty. </w:t>
      </w:r>
      <w:r>
        <w:rPr>
          <w:rFonts w:ascii="Calibri" w:hAnsi="Calibri"/>
        </w:rPr>
        <w:t>Exports retain parameter and transition draws rather than only plug-in means.</w:t>
      </w:r>
    </w:p>
    <w:p>
      <w:pPr>
        <w:spacing w:before="0" w:after="140" w:line="264" w:lineRule="auto"/>
      </w:pPr>
      <w:r>
        <w:rPr>
          <w:rFonts w:ascii="Calibri" w:hAnsi="Calibri"/>
          <w:b/>
          <w:color w:val="256029"/>
        </w:rPr>
        <w:t xml:space="preserve">Honest scope language in places. </w:t>
      </w:r>
      <w:r>
        <w:rPr>
          <w:rFonts w:ascii="Calibri" w:hAnsi="Calibri"/>
        </w:rPr>
        <w:t>The code comments and README correctly state that the decision layer and sensor model do not exist.</w:t>
      </w:r>
    </w:p>
    <w:p>
      <w:pPr>
        <w:pStyle w:val="Heading1"/>
        <w:keepNext/>
        <w:pageBreakBefore w:val="0"/>
      </w:pPr>
      <w:r>
        <w:rPr>
          <w:rFonts w:ascii="Calibri" w:hAnsi="Calibri"/>
          <w:b/>
          <w:color w:val="2E74B5"/>
          <w:sz w:val="32"/>
        </w:rPr>
        <w:t>6. Finding register</w:t>
      </w:r>
    </w:p>
    <w:p>
      <w:pPr>
        <w:keepLines w:val="0"/>
        <w:spacing w:before="0" w:after="120" w:line="264" w:lineRule="auto"/>
      </w:pPr>
      <w:r>
        <w:rPr>
          <w:rFonts w:ascii="Calibri" w:hAnsi="Calibri"/>
          <w:b w:val="0"/>
          <w:i w:val="0"/>
          <w:color w:val="000000"/>
          <w:sz w:val="22"/>
        </w:rPr>
        <w:t>Findings are ordered by the risk that they could reverse a scientific or decision conclusion. Recommended corrections are specified in Section 8.</w:t>
      </w:r>
    </w:p>
    <w:p>
      <w:pPr>
        <w:pStyle w:val="Heading2"/>
        <w:keepNext/>
        <w:pageBreakBefore w:val="0"/>
      </w:pPr>
      <w:r>
        <w:rPr>
          <w:rFonts w:ascii="Calibri" w:hAnsi="Calibri"/>
          <w:b/>
          <w:color w:val="2E74B5"/>
          <w:sz w:val="26"/>
        </w:rPr>
        <w:t>C1 — Production artifacts do not match the current panel</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CE8E6"/>
          </w:tcPr>
          <w:p>
            <w:pPr>
              <w:spacing w:before="40" w:after="40" w:line="264" w:lineRule="auto"/>
            </w:pPr>
            <w:r>
              <w:rPr>
                <w:rFonts w:ascii="Calibri" w:hAnsi="Calibri"/>
                <w:b/>
                <w:color w:val="9B1C1C"/>
              </w:rPr>
              <w:t xml:space="preserve">Critical: </w:t>
            </w:r>
            <w:r>
              <w:rPr>
                <w:rFonts w:ascii="Calibri" w:hAnsi="Calibri"/>
                <w:color w:val="000000"/>
              </w:rPr>
              <w:t>Confirmed defect. The current SCW panel produces 1,034 modeled weeks; the stored scalar and seasonal traces contain 1,023 likelihood factors and were written more than five hours before the current panel. Figures and exports based on those traces are not results for the current dataset.</w:t>
            </w:r>
          </w:p>
        </w:tc>
      </w:tr>
    </w:tbl>
    <w:p>
      <w:pPr>
        <w:spacing w:after="40"/>
      </w:pPr>
    </w:p>
    <w:p>
      <w:pPr>
        <w:pStyle w:val="Heading2"/>
        <w:keepNext/>
        <w:pageBreakBefore w:val="0"/>
      </w:pPr>
      <w:r>
        <w:rPr>
          <w:rFonts w:ascii="Calibri" w:hAnsi="Calibri"/>
          <w:b/>
          <w:color w:val="2E74B5"/>
          <w:sz w:val="26"/>
        </w:rPr>
        <w:t>C2 — The documentation merges incompatible model branches</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CE8E6"/>
          </w:tcPr>
          <w:p>
            <w:pPr>
              <w:spacing w:before="40" w:after="40" w:line="264" w:lineRule="auto"/>
            </w:pPr>
            <w:r>
              <w:rPr>
                <w:rFonts w:ascii="Calibri" w:hAnsi="Calibri"/>
                <w:b/>
                <w:color w:val="9B1C1C"/>
              </w:rPr>
              <w:t xml:space="preserve">Critical: </w:t>
            </w:r>
            <w:r>
              <w:rPr>
                <w:rFonts w:ascii="Calibri" w:hAnsi="Calibri"/>
                <w:color w:val="000000"/>
              </w:rPr>
              <w:t>Confirmed architectural inconsistency. The production NPZ is a one-axis K=4 model with categorical tissue. The central headline comes from a K_B=3×K_Q=2 factorial model with continuous tissue. Seasonality is estimated only in the scalar model. Kinetics is a third separate model. No defined composition turns these into one world model.</w:t>
            </w:r>
          </w:p>
        </w:tc>
      </w:tr>
    </w:tbl>
    <w:p>
      <w:pPr>
        <w:spacing w:after="40"/>
      </w:pPr>
    </w:p>
    <w:p>
      <w:pPr>
        <w:pStyle w:val="Heading2"/>
        <w:keepNext/>
        <w:pageBreakBefore w:val="0"/>
      </w:pPr>
      <w:r>
        <w:rPr>
          <w:rFonts w:ascii="Calibri" w:hAnsi="Calibri"/>
          <w:b/>
          <w:color w:val="2E74B5"/>
          <w:sz w:val="26"/>
        </w:rPr>
        <w:t>C3 — Reported LFO results are not reproducible</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CE8E6"/>
          </w:tcPr>
          <w:p>
            <w:pPr>
              <w:spacing w:before="40" w:after="40" w:line="264" w:lineRule="auto"/>
            </w:pPr>
            <w:r>
              <w:rPr>
                <w:rFonts w:ascii="Calibri" w:hAnsi="Calibri"/>
                <w:b/>
                <w:color w:val="9B1C1C"/>
              </w:rPr>
              <w:t xml:space="preserve">Critical: </w:t>
            </w:r>
            <w:r>
              <w:rPr>
                <w:rFonts w:ascii="Calibri" w:hAnsi="Calibri"/>
                <w:color w:val="000000"/>
              </w:rPr>
              <w:t>Reproducibility gap. The generic utility exists, but no runner builds past-only fits, calls it, stores cutoffs/refits, or regenerates the reported seasonality and kinetics comparisons. The only official scripts still calculate ordinary PSIS-LOO.</w:t>
            </w:r>
          </w:p>
        </w:tc>
      </w:tr>
    </w:tbl>
    <w:p>
      <w:pPr>
        <w:spacing w:after="40"/>
      </w:pPr>
    </w:p>
    <w:p>
      <w:pPr>
        <w:pStyle w:val="Heading2"/>
        <w:keepNext/>
        <w:pageBreakBefore w:val="0"/>
      </w:pPr>
      <w:r>
        <w:rPr>
          <w:rFonts w:ascii="Calibri" w:hAnsi="Calibri"/>
          <w:b/>
          <w:color w:val="2E74B5"/>
          <w:sz w:val="26"/>
        </w:rPr>
        <w:t>C4 — The headline decision claim has not been computed</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CE8E6"/>
          </w:tcPr>
          <w:p>
            <w:pPr>
              <w:spacing w:before="40" w:after="40" w:line="264" w:lineRule="auto"/>
            </w:pPr>
            <w:r>
              <w:rPr>
                <w:rFonts w:ascii="Calibri" w:hAnsi="Calibri"/>
                <w:b/>
                <w:color w:val="9B1C1C"/>
              </w:rPr>
              <w:t xml:space="preserve">Critical: </w:t>
            </w:r>
            <w:r>
              <w:rPr>
                <w:rFonts w:ascii="Calibri" w:hAnsi="Calibri"/>
                <w:color w:val="000000"/>
              </w:rPr>
              <w:t>Unsupported inference. There is no reward model or policy, so EVPI(B), EVPI(toxicity), and VoI do not exist as repository outputs. The inequality is conditional on a particular loss, horizon, state, and information ordering.</w:t>
            </w:r>
          </w:p>
        </w:tc>
      </w:tr>
    </w:tbl>
    <w:p>
      <w:pPr>
        <w:spacing w:after="40"/>
      </w:pPr>
    </w:p>
    <w:p>
      <w:pPr>
        <w:pStyle w:val="Heading2"/>
        <w:keepNext/>
        <w:pageBreakBefore w:val="0"/>
      </w:pPr>
      <w:r>
        <w:rPr>
          <w:rFonts w:ascii="Calibri" w:hAnsi="Calibri"/>
          <w:b/>
          <w:color w:val="2E74B5"/>
          <w:sz w:val="26"/>
        </w:rPr>
        <w:t>C5 — Model adequacy is untested</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CE8E6"/>
          </w:tcPr>
          <w:p>
            <w:pPr>
              <w:spacing w:before="40" w:after="40" w:line="264" w:lineRule="auto"/>
            </w:pPr>
            <w:r>
              <w:rPr>
                <w:rFonts w:ascii="Calibri" w:hAnsi="Calibri"/>
                <w:b/>
                <w:color w:val="9B1C1C"/>
              </w:rPr>
              <w:t xml:space="preserve">Critical: </w:t>
            </w:r>
            <w:r>
              <w:rPr>
                <w:rFonts w:ascii="Calibri" w:hAnsi="Calibri"/>
                <w:color w:val="000000"/>
              </w:rPr>
              <w:t>Statistical validation gap. Parameter recovery within the assumed family and good R-hat do not show the field data are generated adequately. There are no prior predictive checks, posterior predictive checks, residual checks, calibration plots, event-recall metrics, or held-out time/site forecasts.</w:t>
            </w:r>
          </w:p>
        </w:tc>
      </w:tr>
    </w:tbl>
    <w:p>
      <w:pPr>
        <w:spacing w:after="40"/>
      </w:pPr>
    </w:p>
    <w:p>
      <w:pPr>
        <w:pStyle w:val="Heading2"/>
        <w:keepNext/>
        <w:pageBreakBefore w:val="0"/>
      </w:pPr>
      <w:r>
        <w:rPr>
          <w:rFonts w:ascii="Calibri" w:hAnsi="Calibri"/>
          <w:b/>
          <w:color w:val="2E74B5"/>
          <w:sz w:val="26"/>
        </w:rPr>
        <w:t>H1 — K=4 is a provisional parameterization, not an identified truth</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FF4CE"/>
          </w:tcPr>
          <w:p>
            <w:pPr>
              <w:spacing w:before="40" w:after="40" w:line="264" w:lineRule="auto"/>
            </w:pPr>
            <w:r>
              <w:rPr>
                <w:rFonts w:ascii="Calibri" w:hAnsi="Calibri"/>
                <w:b/>
                <w:color w:val="7A5A00"/>
              </w:rPr>
              <w:t xml:space="preserve">High: </w:t>
            </w:r>
            <w:r>
              <w:rPr>
                <w:rFonts w:ascii="Calibri" w:hAnsi="Calibri"/>
                <w:color w:val="000000"/>
              </w:rPr>
              <w:t>Only K=4 mixes under the current parameterization. Nonconvergence does not prove K=2/3 misspecification, and extra states can absorb unmodeled zero processes, lag, continuous heterogeneity, or multiple biological axes. The state count requires predictive and ecological checks.</w:t>
            </w:r>
          </w:p>
        </w:tc>
      </w:tr>
    </w:tbl>
    <w:p>
      <w:pPr>
        <w:spacing w:after="40"/>
      </w:pPr>
    </w:p>
    <w:p>
      <w:pPr>
        <w:pStyle w:val="Heading2"/>
        <w:keepNext/>
        <w:pageBreakBefore w:val="0"/>
      </w:pPr>
      <w:r>
        <w:rPr>
          <w:rFonts w:ascii="Calibri" w:hAnsi="Calibri"/>
          <w:b/>
          <w:color w:val="2E74B5"/>
          <w:sz w:val="26"/>
        </w:rPr>
        <w:t>H2 — Factorial residual independence is mechanically inconsistent</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FF4CE"/>
          </w:tcPr>
          <w:p>
            <w:pPr>
              <w:spacing w:before="40" w:after="40" w:line="264" w:lineRule="auto"/>
            </w:pPr>
            <w:r>
              <w:rPr>
                <w:rFonts w:ascii="Calibri" w:hAnsi="Calibri"/>
                <w:b/>
                <w:color w:val="7A5A00"/>
              </w:rPr>
              <w:t xml:space="preserve">High: </w:t>
            </w:r>
            <w:r>
              <w:rPr>
                <w:rFonts w:ascii="Calibri" w:hAnsi="Calibri"/>
                <w:color w:val="000000"/>
              </w:rPr>
              <w:t>Observed cells and pDA share the same continuous biomass realization. Modeling independent residuals conditional on coarse states breaks the product mechanism and can manufacture quota variability. Add a shared latent continuous biomass deviation or an explicit correlated emission.</w:t>
            </w:r>
          </w:p>
        </w:tc>
      </w:tr>
    </w:tbl>
    <w:p>
      <w:pPr>
        <w:spacing w:after="40"/>
      </w:pPr>
    </w:p>
    <w:p>
      <w:pPr>
        <w:pStyle w:val="Heading2"/>
        <w:keepNext/>
        <w:pageBreakBefore w:val="0"/>
      </w:pPr>
      <w:r>
        <w:rPr>
          <w:rFonts w:ascii="Calibri" w:hAnsi="Calibri"/>
          <w:b/>
          <w:color w:val="2E74B5"/>
          <w:sz w:val="26"/>
        </w:rPr>
        <w:t>H3 — Variable-size maxima are modeled as single observations</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FF4CE"/>
          </w:tcPr>
          <w:p>
            <w:pPr>
              <w:spacing w:before="40" w:after="40" w:line="264" w:lineRule="auto"/>
            </w:pPr>
            <w:r>
              <w:rPr>
                <w:rFonts w:ascii="Calibri" w:hAnsi="Calibri"/>
                <w:b/>
                <w:color w:val="7A5A00"/>
              </w:rPr>
              <w:t xml:space="preserve">High: </w:t>
            </w:r>
            <w:r>
              <w:rPr>
                <w:rFonts w:ascii="Calibri" w:hAnsi="Calibri"/>
                <w:color w:val="000000"/>
              </w:rPr>
              <w:t>Weekly tissue uses max(DA) but ignores the number of assays. This changes the implied distribution and can bias closure probabilities. Keep sample-level data or use an order-statistic likelihood.</w:t>
            </w:r>
          </w:p>
        </w:tc>
      </w:tr>
    </w:tbl>
    <w:p>
      <w:pPr>
        <w:spacing w:after="40"/>
      </w:pPr>
    </w:p>
    <w:p>
      <w:pPr>
        <w:pStyle w:val="Heading2"/>
        <w:keepNext/>
        <w:pageBreakBefore w:val="0"/>
      </w:pPr>
      <w:r>
        <w:rPr>
          <w:rFonts w:ascii="Calibri" w:hAnsi="Calibri"/>
          <w:b/>
          <w:color w:val="2E74B5"/>
          <w:sz w:val="26"/>
        </w:rPr>
        <w:t>H4 — The 33% closure contrast is model-implied, not calibrated</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FF4CE"/>
          </w:tcPr>
          <w:p>
            <w:pPr>
              <w:spacing w:before="40" w:after="40" w:line="264" w:lineRule="auto"/>
            </w:pPr>
            <w:r>
              <w:rPr>
                <w:rFonts w:ascii="Calibri" w:hAnsi="Calibri"/>
                <w:b/>
                <w:color w:val="7A5A00"/>
              </w:rPr>
              <w:t xml:space="preserve">High: </w:t>
            </w:r>
            <w:r>
              <w:rPr>
                <w:rFonts w:ascii="Calibri" w:hAnsi="Calibri"/>
                <w:color w:val="000000"/>
              </w:rPr>
              <w:t>Only 22 current SCW closure weeks exist; 11 are in the exact-date water era. Large σ_tissue can absorb exposure residuals, specimen variation, and lag. The risk table needs held-out calibration and sensitivity to exposure, aggregation, and censoring choices.</w:t>
            </w:r>
          </w:p>
        </w:tc>
      </w:tr>
    </w:tbl>
    <w:p>
      <w:pPr>
        <w:spacing w:after="40"/>
      </w:pPr>
    </w:p>
    <w:p>
      <w:pPr>
        <w:pStyle w:val="Heading2"/>
        <w:keepNext/>
        <w:pageBreakBefore w:val="0"/>
      </w:pPr>
      <w:r>
        <w:rPr>
          <w:rFonts w:ascii="Calibri" w:hAnsi="Calibri"/>
          <w:b/>
          <w:color w:val="2E74B5"/>
          <w:sz w:val="26"/>
        </w:rPr>
        <w:t>H5 — The seasonal 'periodic occupancy' uses a 371-day cycle</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FF4CE"/>
          </w:tcPr>
          <w:p>
            <w:pPr>
              <w:spacing w:before="40" w:after="40" w:line="264" w:lineRule="auto"/>
            </w:pPr>
            <w:r>
              <w:rPr>
                <w:rFonts w:ascii="Calibri" w:hAnsi="Calibri"/>
                <w:b/>
                <w:color w:val="7A5A00"/>
              </w:rPr>
              <w:t xml:space="preserve">High: </w:t>
            </w:r>
            <w:r>
              <w:rPr>
                <w:rFonts w:ascii="Calibri" w:hAnsi="Calibri"/>
                <w:color w:val="000000"/>
              </w:rPr>
              <w:t>The 53 matrices are each treated as a week even though the harmonic year is 52.1786 weeks. Leap-year/calendar binning is also discontinuous. The curve is an approximation and must not be labeled exact or true.</w:t>
            </w:r>
          </w:p>
        </w:tc>
      </w:tr>
    </w:tbl>
    <w:p>
      <w:pPr>
        <w:spacing w:after="40"/>
      </w:pPr>
    </w:p>
    <w:p>
      <w:pPr>
        <w:pStyle w:val="Heading2"/>
        <w:keepNext/>
        <w:pageBreakBefore w:val="0"/>
      </w:pPr>
      <w:r>
        <w:rPr>
          <w:rFonts w:ascii="Calibri" w:hAnsi="Calibri"/>
          <w:b/>
          <w:color w:val="2E74B5"/>
          <w:sz w:val="26"/>
        </w:rPr>
        <w:t>H6 — Ordinary PSIS-LOO remains statistically misinterpretable</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FF4CE"/>
          </w:tcPr>
          <w:p>
            <w:pPr>
              <w:spacing w:before="40" w:after="40" w:line="264" w:lineRule="auto"/>
            </w:pPr>
            <w:r>
              <w:rPr>
                <w:rFonts w:ascii="Calibri" w:hAnsi="Calibri"/>
                <w:b/>
                <w:color w:val="7A5A00"/>
              </w:rPr>
              <w:t xml:space="preserve">High: </w:t>
            </w:r>
            <w:r>
              <w:rPr>
                <w:rFonts w:ascii="Calibri" w:hAnsi="Calibri"/>
                <w:color w:val="000000"/>
              </w:rPr>
              <w:t>Forward conditional factors sum to the likelihood, but later factors retain the removed observation through the filter. Use blocked or rolling-origin LFO for forecasting and reserve current scores for influence/debugging.</w:t>
            </w:r>
          </w:p>
        </w:tc>
      </w:tr>
    </w:tbl>
    <w:p>
      <w:pPr>
        <w:spacing w:after="40"/>
      </w:pPr>
    </w:p>
    <w:p>
      <w:pPr>
        <w:pStyle w:val="Heading2"/>
        <w:keepNext/>
        <w:pageBreakBefore w:val="0"/>
      </w:pPr>
      <w:r>
        <w:rPr>
          <w:rFonts w:ascii="Calibri" w:hAnsi="Calibri"/>
          <w:b/>
          <w:color w:val="2E74B5"/>
          <w:sz w:val="26"/>
        </w:rPr>
        <w:t>H7 — Spatial and canonical data products are inconsistent</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FF4CE"/>
          </w:tcPr>
          <w:p>
            <w:pPr>
              <w:spacing w:before="40" w:after="40" w:line="264" w:lineRule="auto"/>
            </w:pPr>
            <w:r>
              <w:rPr>
                <w:rFonts w:ascii="Calibri" w:hAnsi="Calibri"/>
                <w:b/>
                <w:color w:val="7A5A00"/>
              </w:rPr>
              <w:t xml:space="preserve">High: </w:t>
            </w:r>
            <w:r>
              <w:rPr>
                <w:rFonts w:ascii="Calibri" w:hAnsi="Calibri"/>
                <w:color w:val="000000"/>
              </w:rPr>
              <w:t>The radius-scan script writes canonical files inside both the 3 km and 5 km loops, so the last radius can overwrite defaults. At review time cdph_weekly.csv is byte-identical to 5 km, while joint_panel.csv is byte-identical to 3 km. The same named dataset therefore encodes different radii.</w:t>
            </w:r>
          </w:p>
        </w:tc>
      </w:tr>
    </w:tbl>
    <w:p>
      <w:pPr>
        <w:spacing w:after="40"/>
      </w:pPr>
    </w:p>
    <w:p>
      <w:pPr>
        <w:pStyle w:val="Heading2"/>
        <w:keepNext/>
        <w:pageBreakBefore w:val="0"/>
      </w:pPr>
      <w:r>
        <w:rPr>
          <w:rFonts w:ascii="Calibri" w:hAnsi="Calibri"/>
          <w:b/>
          <w:color w:val="2E74B5"/>
          <w:sz w:val="26"/>
        </w:rPr>
        <w:t>H8 — Santa Cruz is a neighborhood, not a pure Wharf series</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FF4CE"/>
          </w:tcPr>
          <w:p>
            <w:pPr>
              <w:spacing w:before="40" w:after="40" w:line="264" w:lineRule="auto"/>
            </w:pPr>
            <w:r>
              <w:rPr>
                <w:rFonts w:ascii="Calibri" w:hAnsi="Calibri"/>
                <w:b/>
                <w:color w:val="7A5A00"/>
              </w:rPr>
              <w:t xml:space="preserve">High: </w:t>
            </w:r>
            <w:r>
              <w:rPr>
                <w:rFonts w:ascii="Calibri" w:hAnsi="Calibri"/>
                <w:color w:val="000000"/>
              </w:rPr>
              <w:t>Coordinate matching adds Harbor, Sunny Cove, and Swift Street records. This may be acceptable, but it must be modeled and named explicitly; spatial separation can matter for exposure timing and tissue response.</w:t>
            </w:r>
          </w:p>
        </w:tc>
      </w:tr>
    </w:tbl>
    <w:p>
      <w:pPr>
        <w:spacing w:after="40"/>
      </w:pPr>
    </w:p>
    <w:p>
      <w:pPr>
        <w:pStyle w:val="Heading2"/>
        <w:keepNext/>
        <w:pageBreakBefore w:val="0"/>
      </w:pPr>
      <w:r>
        <w:rPr>
          <w:rFonts w:ascii="Calibri" w:hAnsi="Calibri"/>
          <w:b/>
          <w:color w:val="2E74B5"/>
          <w:sz w:val="26"/>
        </w:rPr>
        <w:t>H9 — Sampling ignorability is assumed</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FF4CE"/>
          </w:tcPr>
          <w:p>
            <w:pPr>
              <w:spacing w:before="40" w:after="40" w:line="264" w:lineRule="auto"/>
            </w:pPr>
            <w:r>
              <w:rPr>
                <w:rFonts w:ascii="Calibri" w:hAnsi="Calibri"/>
                <w:b/>
                <w:color w:val="7A5A00"/>
              </w:rPr>
              <w:t xml:space="preserve">High: </w:t>
            </w:r>
            <w:r>
              <w:rPr>
                <w:rFonts w:ascii="Calibri" w:hAnsi="Calibri"/>
                <w:color w:val="000000"/>
              </w:rPr>
              <w:t>Missing markers contribute likelihood one. If sampling frequency responds to blooms, alerts, prior assays, season, or funding era, the absence/presence process contains information and can bias dynamics and emissions.</w:t>
            </w:r>
          </w:p>
        </w:tc>
      </w:tr>
    </w:tbl>
    <w:p>
      <w:pPr>
        <w:spacing w:after="40"/>
      </w:pPr>
    </w:p>
    <w:p>
      <w:pPr>
        <w:pStyle w:val="Heading2"/>
        <w:keepNext/>
        <w:pageBreakBefore w:val="0"/>
      </w:pPr>
      <w:r>
        <w:rPr>
          <w:rFonts w:ascii="Calibri" w:hAnsi="Calibri"/>
          <w:b/>
          <w:color w:val="2E74B5"/>
          <w:sz w:val="26"/>
        </w:rPr>
        <w:t>H10 — 'Biomass-only remote sensing' is too narrow for C-HARM</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FF4CE"/>
          </w:tcPr>
          <w:p>
            <w:pPr>
              <w:spacing w:before="40" w:after="40" w:line="264" w:lineRule="auto"/>
            </w:pPr>
            <w:r>
              <w:rPr>
                <w:rFonts w:ascii="Calibri" w:hAnsi="Calibri"/>
                <w:b/>
                <w:color w:val="7A5A00"/>
              </w:rPr>
              <w:t xml:space="preserve">High: </w:t>
            </w:r>
            <w:r>
              <w:rPr>
                <w:rFonts w:ascii="Calibri" w:hAnsi="Calibri"/>
                <w:color w:val="000000"/>
              </w:rPr>
              <w:t>NOAA describes C-HARM as predicting Pseudo-nitzschia plus particulate and cellular DA risk using satellite, circulation, and ecological models [R7, R9]. A biomass-only channel is a useful scenario, not the definition of the real product. The sensor ceiling is conditional on excluding all Q-related predictors.</w:t>
            </w:r>
          </w:p>
        </w:tc>
      </w:tr>
    </w:tbl>
    <w:p>
      <w:pPr>
        <w:spacing w:after="40"/>
      </w:pPr>
    </w:p>
    <w:p>
      <w:pPr>
        <w:pStyle w:val="Heading2"/>
        <w:keepNext/>
        <w:pageBreakBefore w:val="0"/>
      </w:pPr>
      <w:r>
        <w:rPr>
          <w:rFonts w:ascii="Calibri" w:hAnsi="Calibri"/>
          <w:b/>
          <w:color w:val="2E74B5"/>
          <w:sz w:val="26"/>
        </w:rPr>
        <w:t>M1 — Water and tissue target different weekly functionals</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before="40" w:after="40" w:line="264" w:lineRule="auto"/>
            </w:pPr>
            <w:r>
              <w:rPr>
                <w:rFonts w:ascii="Calibri" w:hAnsi="Calibri"/>
                <w:b/>
                <w:color w:val="5B6770"/>
              </w:rPr>
              <w:t xml:space="preserve">Medium: </w:t>
            </w:r>
            <w:r>
              <w:rPr>
                <w:rFonts w:ascii="Calibri" w:hAnsi="Calibri"/>
                <w:color w:val="000000"/>
              </w:rPr>
              <w:t>Water uses means; tissue uses maxima. Define the operational epoch and use consistent or explicitly decision-relevant summaries.</w:t>
            </w:r>
          </w:p>
        </w:tc>
      </w:tr>
    </w:tbl>
    <w:p>
      <w:pPr>
        <w:spacing w:after="40"/>
      </w:pPr>
    </w:p>
    <w:p>
      <w:pPr>
        <w:pStyle w:val="Heading2"/>
        <w:keepNext/>
        <w:pageBreakBefore w:val="0"/>
      </w:pPr>
      <w:r>
        <w:rPr>
          <w:rFonts w:ascii="Calibri" w:hAnsi="Calibri"/>
          <w:b/>
          <w:color w:val="2E74B5"/>
          <w:sz w:val="26"/>
        </w:rPr>
        <w:t>M2 — pDA exposure is carried forward through long gaps</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before="40" w:after="40" w:line="264" w:lineRule="auto"/>
            </w:pPr>
            <w:r>
              <w:rPr>
                <w:rFonts w:ascii="Calibri" w:hAnsi="Calibri"/>
                <w:b/>
                <w:color w:val="5B6770"/>
              </w:rPr>
              <w:t xml:space="preserve">Medium: </w:t>
            </w:r>
            <w:r>
              <w:rPr>
                <w:rFonts w:ascii="Calibri" w:hAnsi="Calibri"/>
                <w:color w:val="000000"/>
              </w:rPr>
              <w:t>The kinetic timeline holds the last pDA value until the next observation, up to 55 days, without process uncertainty.</w:t>
            </w:r>
          </w:p>
        </w:tc>
      </w:tr>
    </w:tbl>
    <w:p>
      <w:pPr>
        <w:spacing w:after="40"/>
      </w:pPr>
    </w:p>
    <w:p>
      <w:pPr>
        <w:pStyle w:val="Heading2"/>
        <w:keepNext/>
        <w:pageBreakBefore w:val="0"/>
      </w:pPr>
      <w:r>
        <w:rPr>
          <w:rFonts w:ascii="Calibri" w:hAnsi="Calibri"/>
          <w:b/>
          <w:color w:val="2E74B5"/>
          <w:sz w:val="26"/>
        </w:rPr>
        <w:t>M3 — The kinetic observed log density omits −log(y)</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before="40" w:after="40" w:line="264" w:lineRule="auto"/>
            </w:pPr>
            <w:r>
              <w:rPr>
                <w:rFonts w:ascii="Calibri" w:hAnsi="Calibri"/>
                <w:b/>
                <w:color w:val="5B6770"/>
              </w:rPr>
              <w:t xml:space="preserve">Medium: </w:t>
            </w:r>
            <w:r>
              <w:rPr>
                <w:rFonts w:ascii="Calibri" w:hAnsi="Calibri"/>
                <w:color w:val="000000"/>
              </w:rPr>
              <w:t>Posterior estimates are unchanged, but obs_logp is not a complete original-scale density.</w:t>
            </w:r>
          </w:p>
        </w:tc>
      </w:tr>
    </w:tbl>
    <w:p>
      <w:pPr>
        <w:spacing w:after="40"/>
      </w:pPr>
    </w:p>
    <w:p>
      <w:pPr>
        <w:pStyle w:val="Heading2"/>
        <w:keepNext/>
        <w:pageBreakBefore w:val="0"/>
      </w:pPr>
      <w:r>
        <w:rPr>
          <w:rFonts w:ascii="Calibri" w:hAnsi="Calibri"/>
          <w:b/>
          <w:color w:val="2E74B5"/>
          <w:sz w:val="26"/>
        </w:rPr>
        <w:t>M4 — The no-memory model is mislabeled as a k→∞ limit</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before="40" w:after="40" w:line="264" w:lineRule="auto"/>
            </w:pPr>
            <w:r>
              <w:rPr>
                <w:rFonts w:ascii="Calibri" w:hAnsi="Calibri"/>
                <w:b/>
                <w:color w:val="5B6770"/>
              </w:rPr>
              <w:t xml:space="preserve">Medium: </w:t>
            </w:r>
            <w:r>
              <w:rPr>
                <w:rFonts w:ascii="Calibri" w:hAnsi="Calibri"/>
                <w:color w:val="000000"/>
              </w:rPr>
              <w:t>With α fixed, the actual kinetic limit is zero; the implemented comparator is a separate static response.</w:t>
            </w:r>
          </w:p>
        </w:tc>
      </w:tr>
    </w:tbl>
    <w:p>
      <w:pPr>
        <w:spacing w:after="40"/>
      </w:pPr>
    </w:p>
    <w:p>
      <w:pPr>
        <w:pStyle w:val="Heading2"/>
        <w:keepNext/>
        <w:pageBreakBefore w:val="0"/>
      </w:pPr>
      <w:r>
        <w:rPr>
          <w:rFonts w:ascii="Calibri" w:hAnsi="Calibri"/>
          <w:b/>
          <w:color w:val="2E74B5"/>
          <w:sz w:val="26"/>
        </w:rPr>
        <w:t>M5 — Gap clipping and probability floors alter the likelihood</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before="40" w:after="40" w:line="264" w:lineRule="auto"/>
            </w:pPr>
            <w:r>
              <w:rPr>
                <w:rFonts w:ascii="Calibri" w:hAnsi="Calibri"/>
                <w:b/>
                <w:color w:val="5B6770"/>
              </w:rPr>
              <w:t xml:space="preserve">Medium: </w:t>
            </w:r>
            <w:r>
              <w:rPr>
                <w:rFonts w:ascii="Calibri" w:hAnsi="Calibri"/>
                <w:color w:val="000000"/>
              </w:rPr>
              <w:t>Clipping g&gt;52 and flooring c at 10⁻³⁰ are pragmatic approximations. Use log-space filtering or verify an error bound across every draw.</w:t>
            </w:r>
          </w:p>
        </w:tc>
      </w:tr>
    </w:tbl>
    <w:p>
      <w:pPr>
        <w:spacing w:after="40"/>
      </w:pPr>
    </w:p>
    <w:p>
      <w:pPr>
        <w:pStyle w:val="Heading2"/>
        <w:keepNext/>
        <w:pageBreakBefore w:val="0"/>
      </w:pPr>
      <w:r>
        <w:rPr>
          <w:rFonts w:ascii="Calibri" w:hAnsi="Calibri"/>
          <w:b/>
          <w:color w:val="2E74B5"/>
          <w:sz w:val="26"/>
        </w:rPr>
        <w:t>M6 — The R toxicity model uses stale input</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before="40" w:after="40" w:line="264" w:lineRule="auto"/>
            </w:pPr>
            <w:r>
              <w:rPr>
                <w:rFonts w:ascii="Calibri" w:hAnsi="Calibri"/>
                <w:b/>
                <w:color w:val="5B6770"/>
              </w:rPr>
              <w:t xml:space="preserve">Medium: </w:t>
            </w:r>
            <w:r>
              <w:rPr>
                <w:rFonts w:ascii="Calibri" w:hAnsi="Calibri"/>
                <w:color w:val="000000"/>
              </w:rPr>
              <w:t>toxicity_panel.csv remains the old four-site, 1,110-row artifact and is not regenerated by the current coordinate-matching products.</w:t>
            </w:r>
          </w:p>
        </w:tc>
      </w:tr>
    </w:tbl>
    <w:p>
      <w:pPr>
        <w:spacing w:after="40"/>
      </w:pPr>
    </w:p>
    <w:p>
      <w:pPr>
        <w:pStyle w:val="Heading2"/>
        <w:keepNext/>
        <w:pageBreakBefore w:val="0"/>
      </w:pPr>
      <w:r>
        <w:rPr>
          <w:rFonts w:ascii="Calibri" w:hAnsi="Calibri"/>
          <w:b/>
          <w:color w:val="2E74B5"/>
          <w:sz w:val="26"/>
        </w:rPr>
        <w:t>M7 — Reproduction is incomplete</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before="40" w:after="40" w:line="264" w:lineRule="auto"/>
            </w:pPr>
            <w:r>
              <w:rPr>
                <w:rFonts w:ascii="Calibri" w:hAnsi="Calibri"/>
                <w:b/>
                <w:color w:val="5B6770"/>
              </w:rPr>
              <w:t xml:space="preserve">Medium: </w:t>
            </w:r>
            <w:r>
              <w:rPr>
                <w:rFonts w:ascii="Calibri" w:hAnsi="Calibri"/>
                <w:color w:val="000000"/>
              </w:rPr>
              <w:t>There is no test suite, lock file, R environment, artifact manifest, factorial/kinetic runner, or LFO runner. Direct scipy/xarray use is not declared explicitly.</w:t>
            </w:r>
          </w:p>
        </w:tc>
      </w:tr>
    </w:tbl>
    <w:p>
      <w:pPr>
        <w:spacing w:after="40"/>
      </w:pPr>
    </w:p>
    <w:p>
      <w:pPr>
        <w:pStyle w:val="Heading2"/>
        <w:keepNext/>
        <w:pageBreakBefore w:val="0"/>
      </w:pPr>
      <w:r>
        <w:rPr>
          <w:rFonts w:ascii="Calibri" w:hAnsi="Calibri"/>
          <w:b/>
          <w:color w:val="2E74B5"/>
          <w:sz w:val="26"/>
        </w:rPr>
        <w:t>M8 — Documentation counts are stale</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before="40" w:after="40" w:line="264" w:lineRule="auto"/>
            </w:pPr>
            <w:r>
              <w:rPr>
                <w:rFonts w:ascii="Calibri" w:hAnsi="Calibri"/>
                <w:b/>
                <w:color w:val="5B6770"/>
              </w:rPr>
              <w:t xml:space="preserve">Medium: </w:t>
            </w:r>
            <w:r>
              <w:rPr>
                <w:rFonts w:ascii="Calibri" w:hAnsi="Calibri"/>
                <w:color w:val="000000"/>
              </w:rPr>
              <w:t>Config/methodology cite 663 SCW tissue weeks; the current 3 km panel has 675. The current panel has 1,034 modeled weeks, not the 1,023 in production traces.</w:t>
            </w:r>
          </w:p>
        </w:tc>
      </w:tr>
    </w:tbl>
    <w:p>
      <w:pPr>
        <w:spacing w:after="40"/>
      </w:pPr>
    </w:p>
    <w:p>
      <w:pPr>
        <w:pStyle w:val="Heading2"/>
        <w:keepNext/>
        <w:pageBreakBefore w:val="0"/>
      </w:pPr>
      <w:r>
        <w:rPr>
          <w:rFonts w:ascii="Calibri" w:hAnsi="Calibri"/>
          <w:b/>
          <w:color w:val="2E74B5"/>
          <w:sz w:val="26"/>
        </w:rPr>
        <w:t>M9 — Week labels are easy to misalign</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before="40" w:after="40" w:line="264" w:lineRule="auto"/>
            </w:pPr>
            <w:r>
              <w:rPr>
                <w:rFonts w:ascii="Calibri" w:hAnsi="Calibri"/>
                <w:b/>
                <w:color w:val="5B6770"/>
              </w:rPr>
              <w:t xml:space="preserve">Medium: </w:t>
            </w:r>
            <w:r>
              <w:rPr>
                <w:rFonts w:ascii="Calibri" w:hAnsi="Calibri"/>
                <w:color w:val="000000"/>
              </w:rPr>
              <w:t>W-SUN start_time is Monday and timestamps are naive. A daily satellite matchup needs an explicit timezone, cutoff time, and forecast-lead convention.</w:t>
            </w:r>
          </w:p>
        </w:tc>
      </w:tr>
    </w:tbl>
    <w:p>
      <w:pPr>
        <w:spacing w:after="40"/>
      </w:pPr>
    </w:p>
    <w:p>
      <w:pPr>
        <w:pStyle w:val="Heading2"/>
        <w:keepNext/>
        <w:pageBreakBefore w:val="0"/>
      </w:pPr>
      <w:r>
        <w:rPr>
          <w:rFonts w:ascii="Calibri" w:hAnsi="Calibri"/>
          <w:b/>
          <w:color w:val="2E74B5"/>
          <w:sz w:val="26"/>
        </w:rPr>
        <w:t>M10 — Export provenance is insufficient</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before="40" w:after="40" w:line="264" w:lineRule="auto"/>
            </w:pPr>
            <w:r>
              <w:rPr>
                <w:rFonts w:ascii="Calibri" w:hAnsi="Calibri"/>
                <w:b/>
                <w:color w:val="5B6770"/>
              </w:rPr>
              <w:t xml:space="preserve">Medium: </w:t>
            </w:r>
            <w:r>
              <w:rPr>
                <w:rFonts w:ascii="Calibri" w:hAnsi="Calibri"/>
                <w:color w:val="000000"/>
              </w:rPr>
              <w:t>NPZ/NetCDF artifacts lack code revision, data hash, config, site/radius, model version, training dates, and diagnostics.</w:t>
            </w:r>
          </w:p>
        </w:tc>
      </w:tr>
    </w:tbl>
    <w:p>
      <w:pPr>
        <w:spacing w:after="40"/>
      </w:pPr>
    </w:p>
    <w:p>
      <w:pPr>
        <w:pStyle w:val="Heading1"/>
        <w:keepNext/>
        <w:pageBreakBefore w:val="0"/>
      </w:pPr>
      <w:r>
        <w:rPr>
          <w:rFonts w:ascii="Calibri" w:hAnsi="Calibri"/>
          <w:b/>
          <w:color w:val="2E74B5"/>
          <w:sz w:val="32"/>
        </w:rPr>
        <w:t>7. Defensible and indefensible conclusions</w:t>
      </w:r>
    </w:p>
    <w:p>
      <w:pPr>
        <w:pStyle w:val="Heading2"/>
        <w:keepNext/>
        <w:pageBreakBefore w:val="0"/>
      </w:pPr>
      <w:r>
        <w:rPr>
          <w:rFonts w:ascii="Calibri" w:hAnsi="Calibri"/>
          <w:b/>
          <w:color w:val="2E74B5"/>
          <w:sz w:val="26"/>
        </w:rPr>
        <w:t>7.1 Defensible now, with precise wording</w:t>
      </w:r>
    </w:p>
    <w:p>
      <w:pPr>
        <w:numPr>
          <w:ilvl w:val="0"/>
          <w:numId w:val="210"/>
        </w:numPr>
        <w:spacing w:before="0" w:after="160" w:line="280" w:lineRule="auto"/>
      </w:pPr>
      <w:r>
        <w:rPr>
          <w:rFonts w:ascii="Calibri" w:hAnsi="Calibri"/>
        </w:rPr>
        <w:t>The repository implements a continuous-time birth–death HMM whose transition over elapsed time is exp(ΔQ).</w:t>
      </w:r>
    </w:p>
    <w:p>
      <w:pPr>
        <w:numPr>
          <w:ilvl w:val="0"/>
          <w:numId w:val="210"/>
        </w:numPr>
        <w:spacing w:before="0" w:after="160" w:line="280" w:lineRule="auto"/>
      </w:pPr>
      <w:r>
        <w:rPr>
          <w:rFonts w:ascii="Calibri" w:hAnsi="Calibri"/>
        </w:rPr>
        <w:t>The saved older-panel K=4 scalar trace and the saved factorial K_B=3×K_Q=2 trace have acceptable sampler diagnostics.</w:t>
      </w:r>
    </w:p>
    <w:p>
      <w:pPr>
        <w:numPr>
          <w:ilvl w:val="0"/>
          <w:numId w:val="210"/>
        </w:numPr>
        <w:spacing w:before="0" w:after="160" w:line="280" w:lineRule="auto"/>
      </w:pPr>
      <w:r>
        <w:rPr>
          <w:rFonts w:ascii="Calibri" w:hAnsi="Calibri"/>
        </w:rPr>
        <w:t>The hurdle + shared-σ positive cell emission has a monotone positive-part likelihood ratio and corrects the previous variance-induced reversal.</w:t>
      </w:r>
    </w:p>
    <w:p>
      <w:pPr>
        <w:numPr>
          <w:ilvl w:val="0"/>
          <w:numId w:val="210"/>
        </w:numPr>
        <w:spacing w:before="0" w:after="160" w:line="280" w:lineRule="auto"/>
      </w:pPr>
      <w:r>
        <w:rPr>
          <w:rFonts w:ascii="Calibri" w:hAnsi="Calibri"/>
        </w:rPr>
        <w:t>In current positive SCW pairs, log pDA and log cells are related but not proportional: correlation ≈0.742 and regression slope ≈0.733.</w:t>
      </w:r>
    </w:p>
    <w:p>
      <w:pPr>
        <w:numPr>
          <w:ilvl w:val="0"/>
          <w:numId w:val="210"/>
        </w:numPr>
        <w:spacing w:before="0" w:after="160" w:line="280" w:lineRule="auto"/>
      </w:pPr>
      <w:r>
        <w:rPr>
          <w:rFonts w:ascii="Calibri" w:hAnsi="Calibri"/>
        </w:rPr>
        <w:t>Within the fitted factorial model, the two Q levels differ by about 9.4× and produce a large model-implied closure-risk contrast at high biomass.</w:t>
      </w:r>
    </w:p>
    <w:p>
      <w:pPr>
        <w:numPr>
          <w:ilvl w:val="0"/>
          <w:numId w:val="210"/>
        </w:numPr>
        <w:spacing w:before="0" w:after="160" w:line="280" w:lineRule="auto"/>
      </w:pPr>
      <w:r>
        <w:rPr>
          <w:rFonts w:ascii="Calibri" w:hAnsi="Calibri"/>
        </w:rPr>
        <w:t>No implemented result currently quantifies the value of remote sensing or a sensor break-even point.</w:t>
      </w:r>
    </w:p>
    <w:p>
      <w:pPr>
        <w:pStyle w:val="Heading2"/>
        <w:keepNext/>
        <w:pageBreakBefore w:val="0"/>
      </w:pPr>
      <w:r>
        <w:rPr>
          <w:rFonts w:ascii="Calibri" w:hAnsi="Calibri"/>
          <w:b/>
          <w:color w:val="2E74B5"/>
          <w:sz w:val="26"/>
        </w:rPr>
        <w:t>7.2 Not defensible yet</w:t>
      </w:r>
    </w:p>
    <w:p>
      <w:pPr>
        <w:numPr>
          <w:ilvl w:val="0"/>
          <w:numId w:val="210"/>
        </w:numPr>
        <w:spacing w:before="0" w:after="160" w:line="280" w:lineRule="auto"/>
      </w:pPr>
      <w:r>
        <w:rPr>
          <w:rFonts w:ascii="Calibri" w:hAnsi="Calibri"/>
        </w:rPr>
        <w:t>“The world model is done, validated, and corrected.”</w:t>
      </w:r>
    </w:p>
    <w:p>
      <w:pPr>
        <w:numPr>
          <w:ilvl w:val="0"/>
          <w:numId w:val="210"/>
        </w:numPr>
        <w:spacing w:before="0" w:after="160" w:line="280" w:lineRule="auto"/>
      </w:pPr>
      <w:r>
        <w:rPr>
          <w:rFonts w:ascii="Calibri" w:hAnsi="Calibri"/>
        </w:rPr>
        <w:t>“K=4 is the true or scientifically established number of states.”</w:t>
      </w:r>
    </w:p>
    <w:p>
      <w:pPr>
        <w:numPr>
          <w:ilvl w:val="0"/>
          <w:numId w:val="210"/>
        </w:numPr>
        <w:spacing w:before="0" w:after="160" w:line="280" w:lineRule="auto"/>
      </w:pPr>
      <w:r>
        <w:rPr>
          <w:rFonts w:ascii="Calibri" w:hAnsi="Calibri"/>
        </w:rPr>
        <w:t>“Seasonality is LFO-validated” without the executable refit path and saved diagnostics.</w:t>
      </w:r>
    </w:p>
    <w:p>
      <w:pPr>
        <w:numPr>
          <w:ilvl w:val="0"/>
          <w:numId w:val="210"/>
        </w:numPr>
        <w:spacing w:before="0" w:after="160" w:line="280" w:lineRule="auto"/>
      </w:pPr>
      <w:r>
        <w:rPr>
          <w:rFonts w:ascii="Calibri" w:hAnsi="Calibri"/>
        </w:rPr>
        <w:t>“Tissue burden does not need to be a decision state” for all operational cadences.</w:t>
      </w:r>
    </w:p>
    <w:p>
      <w:pPr>
        <w:numPr>
          <w:ilvl w:val="0"/>
          <w:numId w:val="210"/>
        </w:numPr>
        <w:spacing w:before="0" w:after="160" w:line="280" w:lineRule="auto"/>
      </w:pPr>
      <w:r>
        <w:rPr>
          <w:rFonts w:ascii="Calibri" w:hAnsi="Calibri"/>
        </w:rPr>
        <w:t>“Closure is intrinsically a tail event” rather than a tail event under the current coarse exposure model.</w:t>
      </w:r>
    </w:p>
    <w:p>
      <w:pPr>
        <w:numPr>
          <w:ilvl w:val="0"/>
          <w:numId w:val="210"/>
        </w:numPr>
        <w:spacing w:before="0" w:after="160" w:line="280" w:lineRule="auto"/>
      </w:pPr>
      <w:r>
        <w:rPr>
          <w:rFonts w:ascii="Calibri" w:hAnsi="Calibri"/>
        </w:rPr>
        <w:t>“A biomass-only sensor has a quantified irreducible value ceiling” without an observation model and decision loss.</w:t>
      </w:r>
    </w:p>
    <w:p>
      <w:pPr>
        <w:numPr>
          <w:ilvl w:val="0"/>
          <w:numId w:val="210"/>
        </w:numPr>
        <w:spacing w:before="0" w:after="160" w:line="280" w:lineRule="auto"/>
      </w:pPr>
      <w:r>
        <w:rPr>
          <w:rFonts w:ascii="Calibri" w:hAnsi="Calibri"/>
        </w:rPr>
        <w:t>“EVPI(biomass) &lt; EVPI(toxicity)” as an empirical result.</w:t>
      </w:r>
    </w:p>
    <w:p>
      <w:pPr>
        <w:numPr>
          <w:ilvl w:val="0"/>
          <w:numId w:val="210"/>
        </w:numPr>
        <w:spacing w:before="0" w:after="160" w:line="280" w:lineRule="auto"/>
      </w:pPr>
      <w:r>
        <w:rPr>
          <w:rFonts w:ascii="Calibri" w:hAnsi="Calibri"/>
        </w:rPr>
        <w:t>Any claim of C-HARM performance, policy performance, or break-even accuracy.</w:t>
      </w:r>
    </w:p>
    <w:p>
      <w:pPr>
        <w:pStyle w:val="Heading1"/>
        <w:keepNext/>
        <w:pageBreakBefore w:val="0"/>
      </w:pPr>
      <w:r>
        <w:rPr>
          <w:rFonts w:ascii="Calibri" w:hAnsi="Calibri"/>
          <w:b/>
          <w:color w:val="2E74B5"/>
          <w:sz w:val="32"/>
        </w:rPr>
        <w:t>8. Recommended next steps</w:t>
      </w:r>
    </w:p>
    <w:tbl>
      <w:tblPr>
        <w:jc w:val="left"/>
        <w:tblLook w:firstColumn="1" w:firstRow="1" w:lastColumn="0" w:lastRow="0" w:noHBand="0" w:noVBand="1" w:val="04A0"/>
        <w:tblW w:w="9360" w:type="dxa"/>
        <w:tblInd w:w="120" w:type="dxa"/>
        <w:tblLayout w:type="fixed"/>
      </w:tblPr>
      <w:tblGrid>
        <w:gridCol w:w="9360"/>
      </w:tblGrid>
      <w:tr>
        <w:trPr>
          <w:cantSplit/>
        </w:trPr>
        <w:tc>
          <w:tcPr>
            <w:tcW w:type="dxa" w:w="9360"/>
            <w:tcMar>
              <w:top w:w="80" w:type="dxa"/>
              <w:start w:w="120" w:type="dxa"/>
              <w:bottom w:w="80" w:type="dxa"/>
              <w:end w:w="120" w:type="dxa"/>
            </w:tcMar>
            <w:vAlign w:val="center"/>
            <w:shd w:fill="E8F5E9"/>
          </w:tcPr>
          <w:p>
            <w:pPr>
              <w:spacing w:before="40" w:after="40" w:line="264" w:lineRule="auto"/>
            </w:pPr>
            <w:r>
              <w:rPr>
                <w:rFonts w:ascii="Calibri" w:hAnsi="Calibri"/>
                <w:b/>
                <w:color w:val="256029"/>
              </w:rPr>
              <w:t xml:space="preserve">Recommended sequencing: </w:t>
            </w:r>
            <w:r>
              <w:rPr>
                <w:rFonts w:ascii="Calibri" w:hAnsi="Calibri"/>
                <w:color w:val="000000"/>
              </w:rPr>
              <w:t>Freeze and reproduce first; select and validate one coherent ecological model second; only then build the remote observation and decision layers. Otherwise, decision results will be precise answers to a moving target.</w:t>
            </w:r>
          </w:p>
        </w:tc>
      </w:tr>
    </w:tbl>
    <w:p>
      <w:pPr>
        <w:spacing w:after="40"/>
      </w:pPr>
    </w:p>
    <w:p>
      <w:pPr>
        <w:numPr>
          <w:ilvl w:val="0"/>
          <w:numId w:val="211"/>
        </w:numPr>
        <w:spacing w:before="0" w:after="160" w:line="280" w:lineRule="auto"/>
      </w:pPr>
      <w:r>
        <w:rPr>
          <w:rFonts w:ascii="Calibri" w:hAnsi="Calibri"/>
          <w:b/>
        </w:rPr>
        <w:t>1. Freeze the audit baseline.</w:t>
      </w:r>
      <w:r>
        <w:rPr>
          <w:rFonts w:ascii="Calibri" w:hAnsi="Calibri"/>
        </w:rPr>
        <w:t xml:space="preserve"> Create a machine-readable manifest with git revision, dirty diff hash, data hashes, config, package versions, random seeds, model formula ID, site/radius, training dates, and artifact hashes.</w:t>
      </w:r>
    </w:p>
    <w:p>
      <w:pPr>
        <w:numPr>
          <w:ilvl w:val="0"/>
          <w:numId w:val="211"/>
        </w:numPr>
        <w:spacing w:before="0" w:after="160" w:line="280" w:lineRule="auto"/>
      </w:pPr>
      <w:r>
        <w:rPr>
          <w:rFonts w:ascii="Calibri" w:hAnsi="Calibri"/>
          <w:b/>
        </w:rPr>
        <w:t>2. Repair canonical data semantics.</w:t>
      </w:r>
      <w:r>
        <w:rPr>
          <w:rFonts w:ascii="Calibri" w:hAnsi="Calibri"/>
        </w:rPr>
        <w:t xml:space="preserve"> Make radius scans write only radius-specific outputs; write canonical outputs exactly once from config.MATCH_RADIUS_KM. Rebuild toxicity_panel.csv. Name the anchor SCW-neighborhood or filter strictly to Wharf.</w:t>
      </w:r>
    </w:p>
    <w:p>
      <w:pPr>
        <w:numPr>
          <w:ilvl w:val="0"/>
          <w:numId w:val="211"/>
        </w:numPr>
        <w:spacing w:before="0" w:after="160" w:line="280" w:lineRule="auto"/>
      </w:pPr>
      <w:r>
        <w:rPr>
          <w:rFonts w:ascii="Calibri" w:hAnsi="Calibri"/>
          <w:b/>
        </w:rPr>
        <w:t>3. Add a real test suite.</w:t>
      </w:r>
      <w:r>
        <w:rPr>
          <w:rFonts w:ascii="Calibri" w:hAnsi="Calibri"/>
        </w:rPr>
        <w:t xml:space="preserve"> Cover week boundaries, haversine matching, ambiguous station assignments, aggregation/censoring, matrix exponential against scipy, forward likelihood against brute force, seasonal transition ordering, periodic-calendar behavior, LFO against exact refits, and export round-trips.</w:t>
      </w:r>
    </w:p>
    <w:p>
      <w:pPr>
        <w:numPr>
          <w:ilvl w:val="0"/>
          <w:numId w:val="211"/>
        </w:numPr>
        <w:spacing w:before="0" w:after="160" w:line="280" w:lineRule="auto"/>
      </w:pPr>
      <w:r>
        <w:rPr>
          <w:rFonts w:ascii="Calibri" w:hAnsi="Calibri"/>
          <w:b/>
        </w:rPr>
        <w:t>4. Add reproducible runners.</w:t>
      </w:r>
      <w:r>
        <w:rPr>
          <w:rFonts w:ascii="Calibri" w:hAnsi="Calibri"/>
        </w:rPr>
        <w:t xml:space="preserve"> Check in fit_factorial.py, fit_tissue_kinetics.py, and compare_lfo.py. Persist per-observation likelihoods, posterior predictions, refit points, Pareto k, data indices, and all configuration.</w:t>
      </w:r>
    </w:p>
    <w:p>
      <w:pPr>
        <w:numPr>
          <w:ilvl w:val="0"/>
          <w:numId w:val="211"/>
        </w:numPr>
        <w:spacing w:before="0" w:after="160" w:line="280" w:lineRule="auto"/>
      </w:pPr>
      <w:r>
        <w:rPr>
          <w:rFonts w:ascii="Calibri" w:hAnsi="Calibri"/>
          <w:b/>
        </w:rPr>
        <w:t>5. Choose one production state model.</w:t>
      </w:r>
      <w:r>
        <w:rPr>
          <w:rFonts w:ascii="Calibri" w:hAnsi="Calibri"/>
        </w:rPr>
        <w:t xml:space="preserve"> Recommended starting point: factorial B×Q with a shared continuous biomass residual, sample-level tissue likelihood, and an explicit choice between static weekly tissue risk and a daily kinetic stock. Add seasonality/covariates to that same model, not the obsolete scalar branch.</w:t>
      </w:r>
    </w:p>
    <w:p>
      <w:pPr>
        <w:numPr>
          <w:ilvl w:val="0"/>
          <w:numId w:val="211"/>
        </w:numPr>
        <w:spacing w:before="0" w:after="160" w:line="280" w:lineRule="auto"/>
      </w:pPr>
      <w:r>
        <w:rPr>
          <w:rFonts w:ascii="Calibri" w:hAnsi="Calibri"/>
          <w:b/>
        </w:rPr>
        <w:t>6. Refit on the frozen current data.</w:t>
      </w:r>
      <w:r>
        <w:rPr>
          <w:rFonts w:ascii="Calibri" w:hAnsi="Calibri"/>
        </w:rPr>
        <w:t xml:space="preserve"> Regenerate all scalar baselines, factorial candidates, seasonal variants, figures, and exports. Do not mix pre- and post-match artifacts.</w:t>
      </w:r>
    </w:p>
    <w:p>
      <w:pPr>
        <w:numPr>
          <w:ilvl w:val="0"/>
          <w:numId w:val="211"/>
        </w:numPr>
        <w:spacing w:before="0" w:after="160" w:line="280" w:lineRule="auto"/>
      </w:pPr>
      <w:r>
        <w:rPr>
          <w:rFonts w:ascii="Calibri" w:hAnsi="Calibri"/>
          <w:b/>
        </w:rPr>
        <w:t>7. Perform Bayesian model checking.</w:t>
      </w:r>
      <w:r>
        <w:rPr>
          <w:rFonts w:ascii="Calibri" w:hAnsi="Calibri"/>
        </w:rPr>
        <w:t xml:space="preserve"> Prior predictive checks; posterior predictive distributions for zeros, positive cells, pDA, LOD patterns, closure counts, run lengths, seasonal peaks, cross-marker residual correlation, and maxima by n; simulation-based calibration where feasible.</w:t>
      </w:r>
    </w:p>
    <w:p>
      <w:pPr>
        <w:numPr>
          <w:ilvl w:val="0"/>
          <w:numId w:val="211"/>
        </w:numPr>
        <w:spacing w:before="0" w:after="160" w:line="280" w:lineRule="auto"/>
      </w:pPr>
      <w:r>
        <w:rPr>
          <w:rFonts w:ascii="Calibri" w:hAnsi="Calibri"/>
          <w:b/>
        </w:rPr>
        <w:t>8. Validate forecasting honestly.</w:t>
      </w:r>
      <w:r>
        <w:rPr>
          <w:rFonts w:ascii="Calibri" w:hAnsi="Calibri"/>
        </w:rPr>
        <w:t xml:space="preserve"> Use rolling-origin or blocked LFO with past-only preprocessing and model selection inside each training fold. Report event recall/precision, Brier/log score, calibration, lead time, and uncertainty. Hold out a second site only after a hierarchical/site-specific model exists.</w:t>
      </w:r>
    </w:p>
    <w:p>
      <w:pPr>
        <w:numPr>
          <w:ilvl w:val="0"/>
          <w:numId w:val="211"/>
        </w:numPr>
        <w:spacing w:before="0" w:after="160" w:line="280" w:lineRule="auto"/>
      </w:pPr>
      <w:r>
        <w:rPr>
          <w:rFonts w:ascii="Calibri" w:hAnsi="Calibri"/>
          <w:b/>
        </w:rPr>
        <w:t>9. Define the decision contract.</w:t>
      </w:r>
      <w:r>
        <w:rPr>
          <w:rFonts w:ascii="Calibri" w:hAnsi="Calibri"/>
        </w:rPr>
        <w:t xml:space="preserve"> Specify actor, decision epoch, observe-update-act timing, action set, reopen logic, horizon, discounting, public-health loss, economic cost, test delay/cost, and risk constraints.</w:t>
      </w:r>
    </w:p>
    <w:p>
      <w:pPr>
        <w:numPr>
          <w:ilvl w:val="0"/>
          <w:numId w:val="211"/>
        </w:numPr>
        <w:spacing w:before="0" w:after="160" w:line="280" w:lineRule="auto"/>
      </w:pPr>
      <w:r>
        <w:rPr>
          <w:rFonts w:ascii="Calibri" w:hAnsi="Calibri"/>
          <w:b/>
        </w:rPr>
        <w:t>10. Build the real observation channel.</w:t>
      </w:r>
      <w:r>
        <w:rPr>
          <w:rFonts w:ascii="Calibri" w:hAnsi="Calibri"/>
        </w:rPr>
        <w:t xml:space="preserve"> Calibrate the full C-HARM output vector—PN, pDA, and cDA probabilities where available—against held-out in-situ targets. Include lead time, spatial mismatch, missing pixels, forecast issue time, and uncertainty. Also retain a biomass-only scenario for decomposition.</w:t>
      </w:r>
    </w:p>
    <w:p>
      <w:pPr>
        <w:numPr>
          <w:ilvl w:val="0"/>
          <w:numId w:val="211"/>
        </w:numPr>
        <w:spacing w:before="0" w:after="160" w:line="280" w:lineRule="auto"/>
      </w:pPr>
      <w:r>
        <w:rPr>
          <w:rFonts w:ascii="Calibri" w:hAnsi="Calibri"/>
          <w:b/>
        </w:rPr>
        <w:t>11. Compute nested VoI.</w:t>
      </w:r>
      <w:r>
        <w:rPr>
          <w:rFonts w:ascii="Calibri" w:hAnsi="Calibri"/>
        </w:rPr>
        <w:t xml:space="preserve"> Solve the same decision problem with and without the optional information source. Separate gross optional information value, per-use cost, and fixed adoption cost. Negative gross VoI in a nested exact setup is a debugging signal.</w:t>
      </w:r>
    </w:p>
    <w:p>
      <w:pPr>
        <w:numPr>
          <w:ilvl w:val="0"/>
          <w:numId w:val="211"/>
        </w:numPr>
        <w:spacing w:before="0" w:after="160" w:line="280" w:lineRule="auto"/>
      </w:pPr>
      <w:r>
        <w:rPr>
          <w:rFonts w:ascii="Calibri" w:hAnsi="Calibri"/>
          <w:b/>
        </w:rPr>
        <w:t>12. Stress-test every headline.</w:t>
      </w:r>
      <w:r>
        <w:rPr>
          <w:rFonts w:ascii="Calibri" w:hAnsi="Calibri"/>
        </w:rPr>
        <w:t xml:space="preserve"> Vary site radius, tissue aggregation, LOD handling, K_B/K_Q, coupled versus independent dynamics, kinetics, sensor channel, loss ratio, and forecast horizon. Report where the policy or value conclusion changes.</w:t>
      </w:r>
    </w:p>
    <w:p>
      <w:pPr>
        <w:pStyle w:val="Heading2"/>
        <w:keepNext/>
        <w:pageBreakBefore w:val="0"/>
      </w:pPr>
      <w:r>
        <w:rPr>
          <w:rFonts w:ascii="Calibri" w:hAnsi="Calibri"/>
          <w:b/>
          <w:color w:val="2E74B5"/>
          <w:sz w:val="26"/>
        </w:rPr>
        <w:t>8.1 Acceptance gates</w:t>
      </w:r>
    </w:p>
    <w:tbl>
      <w:tblPr>
        <w:tblStyle w:val="TableGrid"/>
        <w:jc w:val="left"/>
        <w:tblLook w:firstColumn="1" w:firstRow="1" w:lastColumn="0" w:lastRow="0" w:noHBand="0" w:noVBand="1" w:val="04A0"/>
        <w:tblW w:w="9360" w:type="dxa"/>
        <w:tblInd w:w="120" w:type="dxa"/>
        <w:tblLayout w:type="fixed"/>
      </w:tblPr>
      <w:tblGrid>
        <w:gridCol w:w="1000"/>
        <w:gridCol w:w="4180"/>
        <w:gridCol w:w="4180"/>
      </w:tblGrid>
      <w:tr>
        <w:trPr>
          <w:tblHeader w:val="true"/>
        </w:trPr>
        <w:tc>
          <w:tcPr>
            <w:tcW w:type="dxa" w:w="1000"/>
            <w:shd w:fill="F2F4F7"/>
            <w:tcMar>
              <w:top w:w="80" w:type="dxa"/>
              <w:start w:w="120" w:type="dxa"/>
              <w:bottom w:w="80" w:type="dxa"/>
              <w:end w:w="120" w:type="dxa"/>
            </w:tcMar>
            <w:vAlign w:val="center"/>
          </w:tcPr>
          <w:p>
            <w:pPr>
              <w:spacing w:after="0"/>
            </w:pPr>
            <w:r>
              <w:rPr>
                <w:rFonts w:ascii="Calibri" w:hAnsi="Calibri"/>
                <w:b/>
                <w:color w:val="172B3A"/>
                <w:sz w:val="17"/>
              </w:rPr>
              <w:t>Gate</w:t>
            </w:r>
          </w:p>
        </w:tc>
        <w:tc>
          <w:tcPr>
            <w:tcW w:type="dxa" w:w="4180"/>
            <w:shd w:fill="F2F4F7"/>
            <w:tcMar>
              <w:top w:w="80" w:type="dxa"/>
              <w:start w:w="120" w:type="dxa"/>
              <w:bottom w:w="80" w:type="dxa"/>
              <w:end w:w="120" w:type="dxa"/>
            </w:tcMar>
            <w:vAlign w:val="center"/>
          </w:tcPr>
          <w:p>
            <w:pPr>
              <w:spacing w:after="0"/>
            </w:pPr>
            <w:r>
              <w:rPr>
                <w:rFonts w:ascii="Calibri" w:hAnsi="Calibri"/>
                <w:b/>
                <w:color w:val="172B3A"/>
                <w:sz w:val="17"/>
              </w:rPr>
              <w:t>Required evidence</w:t>
            </w:r>
          </w:p>
        </w:tc>
        <w:tc>
          <w:tcPr>
            <w:tcW w:type="dxa" w:w="4180"/>
            <w:shd w:fill="F2F4F7"/>
            <w:tcMar>
              <w:top w:w="80" w:type="dxa"/>
              <w:start w:w="120" w:type="dxa"/>
              <w:bottom w:w="80" w:type="dxa"/>
              <w:end w:w="120" w:type="dxa"/>
            </w:tcMar>
            <w:vAlign w:val="center"/>
          </w:tcPr>
          <w:p>
            <w:pPr>
              <w:spacing w:after="0"/>
            </w:pPr>
            <w:r>
              <w:rPr>
                <w:rFonts w:ascii="Calibri" w:hAnsi="Calibri"/>
                <w:b/>
                <w:color w:val="172B3A"/>
                <w:sz w:val="17"/>
              </w:rPr>
              <w:t>Pass condition</w:t>
            </w:r>
          </w:p>
        </w:tc>
      </w:tr>
      <w:tr>
        <w:tc>
          <w:tcPr>
            <w:tcW w:type="dxa" w:w="1000"/>
            <w:tcMar>
              <w:top w:w="80" w:type="dxa"/>
              <w:start w:w="120" w:type="dxa"/>
              <w:bottom w:w="80" w:type="dxa"/>
              <w:end w:w="120" w:type="dxa"/>
            </w:tcMar>
            <w:vAlign w:val="center"/>
          </w:tcPr>
          <w:p>
            <w:pPr>
              <w:spacing w:after="0" w:line="252" w:lineRule="auto"/>
            </w:pPr>
            <w:r>
              <w:rPr>
                <w:rFonts w:ascii="Calibri" w:hAnsi="Calibri"/>
                <w:color w:val="000000"/>
                <w:sz w:val="17"/>
              </w:rPr>
              <w:t>A — Data</w:t>
            </w:r>
          </w:p>
        </w:tc>
        <w:tc>
          <w:tcPr>
            <w:tcW w:type="dxa" w:w="4180"/>
            <w:tcMar>
              <w:top w:w="80" w:type="dxa"/>
              <w:start w:w="120" w:type="dxa"/>
              <w:bottom w:w="80" w:type="dxa"/>
              <w:end w:w="120" w:type="dxa"/>
            </w:tcMar>
            <w:vAlign w:val="center"/>
          </w:tcPr>
          <w:p>
            <w:pPr>
              <w:spacing w:after="0" w:line="252" w:lineRule="auto"/>
            </w:pPr>
            <w:r>
              <w:rPr>
                <w:rFonts w:ascii="Calibri" w:hAnsi="Calibri"/>
                <w:color w:val="000000"/>
                <w:sz w:val="17"/>
              </w:rPr>
              <w:t>Deterministic rebuild + manifest + row-level QA</w:t>
            </w:r>
          </w:p>
        </w:tc>
        <w:tc>
          <w:tcPr>
            <w:tcW w:type="dxa" w:w="4180"/>
            <w:tcMar>
              <w:top w:w="80" w:type="dxa"/>
              <w:start w:w="120" w:type="dxa"/>
              <w:bottom w:w="80" w:type="dxa"/>
              <w:end w:w="120" w:type="dxa"/>
            </w:tcMar>
            <w:vAlign w:val="center"/>
          </w:tcPr>
          <w:p>
            <w:pPr>
              <w:spacing w:after="0" w:line="252" w:lineRule="auto"/>
            </w:pPr>
            <w:r>
              <w:rPr>
                <w:rFonts w:ascii="Calibri" w:hAnsi="Calibri"/>
                <w:color w:val="000000"/>
                <w:sz w:val="17"/>
              </w:rPr>
              <w:t>Same hashes from a clean environment; no radius ambiguity</w:t>
            </w:r>
          </w:p>
        </w:tc>
      </w:tr>
      <w:tr>
        <w:tc>
          <w:tcPr>
            <w:tcW w:type="dxa" w:w="1000"/>
            <w:tcMar>
              <w:top w:w="80" w:type="dxa"/>
              <w:start w:w="120" w:type="dxa"/>
              <w:bottom w:w="80" w:type="dxa"/>
              <w:end w:w="120" w:type="dxa"/>
            </w:tcMar>
            <w:vAlign w:val="center"/>
          </w:tcPr>
          <w:p>
            <w:pPr>
              <w:spacing w:after="0" w:line="252" w:lineRule="auto"/>
            </w:pPr>
            <w:r>
              <w:rPr>
                <w:rFonts w:ascii="Calibri" w:hAnsi="Calibri"/>
                <w:color w:val="000000"/>
                <w:sz w:val="17"/>
              </w:rPr>
              <w:t>B — Computation</w:t>
            </w:r>
          </w:p>
        </w:tc>
        <w:tc>
          <w:tcPr>
            <w:tcW w:type="dxa" w:w="4180"/>
            <w:tcMar>
              <w:top w:w="80" w:type="dxa"/>
              <w:start w:w="120" w:type="dxa"/>
              <w:bottom w:w="80" w:type="dxa"/>
              <w:end w:w="120" w:type="dxa"/>
            </w:tcMar>
            <w:vAlign w:val="center"/>
          </w:tcPr>
          <w:p>
            <w:pPr>
              <w:spacing w:after="0" w:line="252" w:lineRule="auto"/>
            </w:pPr>
            <w:r>
              <w:rPr>
                <w:rFonts w:ascii="Calibri" w:hAnsi="Calibri"/>
                <w:color w:val="000000"/>
                <w:sz w:val="17"/>
              </w:rPr>
              <w:t>Unit tests, SBC/recovery, R-hat/ESS/divergences</w:t>
            </w:r>
          </w:p>
        </w:tc>
        <w:tc>
          <w:tcPr>
            <w:tcW w:type="dxa" w:w="4180"/>
            <w:tcMar>
              <w:top w:w="80" w:type="dxa"/>
              <w:start w:w="120" w:type="dxa"/>
              <w:bottom w:w="80" w:type="dxa"/>
              <w:end w:w="120" w:type="dxa"/>
            </w:tcMar>
            <w:vAlign w:val="center"/>
          </w:tcPr>
          <w:p>
            <w:pPr>
              <w:spacing w:after="0" w:line="252" w:lineRule="auto"/>
            </w:pPr>
            <w:r>
              <w:rPr>
                <w:rFonts w:ascii="Calibri" w:hAnsi="Calibri"/>
                <w:color w:val="000000"/>
                <w:sz w:val="17"/>
              </w:rPr>
              <w:t>All core likelihoods verified; stable chains across seeds</w:t>
            </w:r>
          </w:p>
        </w:tc>
      </w:tr>
      <w:tr>
        <w:tc>
          <w:tcPr>
            <w:tcW w:type="dxa" w:w="1000"/>
            <w:tcMar>
              <w:top w:w="80" w:type="dxa"/>
              <w:start w:w="120" w:type="dxa"/>
              <w:bottom w:w="80" w:type="dxa"/>
              <w:end w:w="120" w:type="dxa"/>
            </w:tcMar>
            <w:vAlign w:val="center"/>
          </w:tcPr>
          <w:p>
            <w:pPr>
              <w:spacing w:after="0" w:line="252" w:lineRule="auto"/>
            </w:pPr>
            <w:r>
              <w:rPr>
                <w:rFonts w:ascii="Calibri" w:hAnsi="Calibri"/>
                <w:color w:val="000000"/>
                <w:sz w:val="17"/>
              </w:rPr>
              <w:t>C — Model adequacy</w:t>
            </w:r>
          </w:p>
        </w:tc>
        <w:tc>
          <w:tcPr>
            <w:tcW w:type="dxa" w:w="4180"/>
            <w:tcMar>
              <w:top w:w="80" w:type="dxa"/>
              <w:start w:w="120" w:type="dxa"/>
              <w:bottom w:w="80" w:type="dxa"/>
              <w:end w:w="120" w:type="dxa"/>
            </w:tcMar>
            <w:vAlign w:val="center"/>
          </w:tcPr>
          <w:p>
            <w:pPr>
              <w:spacing w:after="0" w:line="252" w:lineRule="auto"/>
            </w:pPr>
            <w:r>
              <w:rPr>
                <w:rFonts w:ascii="Calibri" w:hAnsi="Calibri"/>
                <w:color w:val="000000"/>
                <w:sz w:val="17"/>
              </w:rPr>
              <w:t>Prior/posterior predictive checks and residuals</w:t>
            </w:r>
          </w:p>
        </w:tc>
        <w:tc>
          <w:tcPr>
            <w:tcW w:type="dxa" w:w="4180"/>
            <w:tcMar>
              <w:top w:w="80" w:type="dxa"/>
              <w:start w:w="120" w:type="dxa"/>
              <w:bottom w:w="80" w:type="dxa"/>
              <w:end w:w="120" w:type="dxa"/>
            </w:tcMar>
            <w:vAlign w:val="center"/>
          </w:tcPr>
          <w:p>
            <w:pPr>
              <w:spacing w:after="0" w:line="252" w:lineRule="auto"/>
            </w:pPr>
            <w:r>
              <w:rPr>
                <w:rFonts w:ascii="Calibri" w:hAnsi="Calibri"/>
                <w:color w:val="000000"/>
                <w:sz w:val="17"/>
              </w:rPr>
              <w:t>Key observed features fall within predictive distributions</w:t>
            </w:r>
          </w:p>
        </w:tc>
      </w:tr>
      <w:tr>
        <w:tc>
          <w:tcPr>
            <w:tcW w:type="dxa" w:w="1000"/>
            <w:tcMar>
              <w:top w:w="80" w:type="dxa"/>
              <w:start w:w="120" w:type="dxa"/>
              <w:bottom w:w="80" w:type="dxa"/>
              <w:end w:w="120" w:type="dxa"/>
            </w:tcMar>
            <w:vAlign w:val="center"/>
          </w:tcPr>
          <w:p>
            <w:pPr>
              <w:spacing w:after="0" w:line="252" w:lineRule="auto"/>
            </w:pPr>
            <w:r>
              <w:rPr>
                <w:rFonts w:ascii="Calibri" w:hAnsi="Calibri"/>
                <w:color w:val="000000"/>
                <w:sz w:val="17"/>
              </w:rPr>
              <w:t>D — Forecasting</w:t>
            </w:r>
          </w:p>
        </w:tc>
        <w:tc>
          <w:tcPr>
            <w:tcW w:type="dxa" w:w="4180"/>
            <w:tcMar>
              <w:top w:w="80" w:type="dxa"/>
              <w:start w:w="120" w:type="dxa"/>
              <w:bottom w:w="80" w:type="dxa"/>
              <w:end w:w="120" w:type="dxa"/>
            </w:tcMar>
            <w:vAlign w:val="center"/>
          </w:tcPr>
          <w:p>
            <w:pPr>
              <w:spacing w:after="0" w:line="252" w:lineRule="auto"/>
            </w:pPr>
            <w:r>
              <w:rPr>
                <w:rFonts w:ascii="Calibri" w:hAnsi="Calibri"/>
                <w:color w:val="000000"/>
                <w:sz w:val="17"/>
              </w:rPr>
              <w:t>Rolling-origin LFO and calibration</w:t>
            </w:r>
          </w:p>
        </w:tc>
        <w:tc>
          <w:tcPr>
            <w:tcW w:type="dxa" w:w="4180"/>
            <w:tcMar>
              <w:top w:w="80" w:type="dxa"/>
              <w:start w:w="120" w:type="dxa"/>
              <w:bottom w:w="80" w:type="dxa"/>
              <w:end w:w="120" w:type="dxa"/>
            </w:tcMar>
            <w:vAlign w:val="center"/>
          </w:tcPr>
          <w:p>
            <w:pPr>
              <w:spacing w:after="0" w:line="252" w:lineRule="auto"/>
            </w:pPr>
            <w:r>
              <w:rPr>
                <w:rFonts w:ascii="Calibri" w:hAnsi="Calibri"/>
                <w:color w:val="000000"/>
                <w:sz w:val="17"/>
              </w:rPr>
              <w:t>Performance exceeds seasonal/persistence baselines with uncertainty</w:t>
            </w:r>
          </w:p>
        </w:tc>
      </w:tr>
      <w:tr>
        <w:tc>
          <w:tcPr>
            <w:tcW w:type="dxa" w:w="1000"/>
            <w:tcMar>
              <w:top w:w="80" w:type="dxa"/>
              <w:start w:w="120" w:type="dxa"/>
              <w:bottom w:w="80" w:type="dxa"/>
              <w:end w:w="120" w:type="dxa"/>
            </w:tcMar>
            <w:vAlign w:val="center"/>
          </w:tcPr>
          <w:p>
            <w:pPr>
              <w:spacing w:after="0" w:line="252" w:lineRule="auto"/>
            </w:pPr>
            <w:r>
              <w:rPr>
                <w:rFonts w:ascii="Calibri" w:hAnsi="Calibri"/>
                <w:color w:val="000000"/>
                <w:sz w:val="17"/>
              </w:rPr>
              <w:t>E — Decision</w:t>
            </w:r>
          </w:p>
        </w:tc>
        <w:tc>
          <w:tcPr>
            <w:tcW w:type="dxa" w:w="4180"/>
            <w:tcMar>
              <w:top w:w="80" w:type="dxa"/>
              <w:start w:w="120" w:type="dxa"/>
              <w:bottom w:w="80" w:type="dxa"/>
              <w:end w:w="120" w:type="dxa"/>
            </w:tcMar>
            <w:vAlign w:val="center"/>
          </w:tcPr>
          <w:p>
            <w:pPr>
              <w:spacing w:after="0" w:line="252" w:lineRule="auto"/>
            </w:pPr>
            <w:r>
              <w:rPr>
                <w:rFonts w:ascii="Calibri" w:hAnsi="Calibri"/>
                <w:color w:val="000000"/>
                <w:sz w:val="17"/>
              </w:rPr>
              <w:t>Specified loss/timing + validated observation channel</w:t>
            </w:r>
          </w:p>
        </w:tc>
        <w:tc>
          <w:tcPr>
            <w:tcW w:type="dxa" w:w="4180"/>
            <w:tcMar>
              <w:top w:w="80" w:type="dxa"/>
              <w:start w:w="120" w:type="dxa"/>
              <w:bottom w:w="80" w:type="dxa"/>
              <w:end w:w="120" w:type="dxa"/>
            </w:tcMar>
            <w:vAlign w:val="center"/>
          </w:tcPr>
          <w:p>
            <w:pPr>
              <w:spacing w:after="0" w:line="252" w:lineRule="auto"/>
            </w:pPr>
            <w:r>
              <w:rPr>
                <w:rFonts w:ascii="Calibri" w:hAnsi="Calibri"/>
                <w:color w:val="000000"/>
                <w:sz w:val="17"/>
              </w:rPr>
              <w:t>Policy stable under sensitivity; VoI reproducible and nested</w:t>
            </w:r>
          </w:p>
        </w:tc>
      </w:tr>
      <w:tr>
        <w:tc>
          <w:tcPr>
            <w:tcW w:type="dxa" w:w="1000"/>
            <w:tcMar>
              <w:top w:w="80" w:type="dxa"/>
              <w:start w:w="120" w:type="dxa"/>
              <w:bottom w:w="80" w:type="dxa"/>
              <w:end w:w="120" w:type="dxa"/>
            </w:tcMar>
            <w:vAlign w:val="center"/>
          </w:tcPr>
          <w:p>
            <w:pPr>
              <w:spacing w:after="0" w:line="252" w:lineRule="auto"/>
            </w:pPr>
            <w:r>
              <w:rPr>
                <w:rFonts w:ascii="Calibri" w:hAnsi="Calibri"/>
                <w:color w:val="000000"/>
                <w:sz w:val="17"/>
              </w:rPr>
              <w:t>F — Generalization</w:t>
            </w:r>
          </w:p>
        </w:tc>
        <w:tc>
          <w:tcPr>
            <w:tcW w:type="dxa" w:w="4180"/>
            <w:tcMar>
              <w:top w:w="80" w:type="dxa"/>
              <w:start w:w="120" w:type="dxa"/>
              <w:bottom w:w="80" w:type="dxa"/>
              <w:end w:w="120" w:type="dxa"/>
            </w:tcMar>
            <w:vAlign w:val="center"/>
          </w:tcPr>
          <w:p>
            <w:pPr>
              <w:spacing w:after="0" w:line="252" w:lineRule="auto"/>
            </w:pPr>
            <w:r>
              <w:rPr>
                <w:rFonts w:ascii="Calibri" w:hAnsi="Calibri"/>
                <w:color w:val="000000"/>
                <w:sz w:val="17"/>
              </w:rPr>
              <w:t>Temporal and external-site validation</w:t>
            </w:r>
          </w:p>
        </w:tc>
        <w:tc>
          <w:tcPr>
            <w:tcW w:type="dxa" w:w="4180"/>
            <w:tcMar>
              <w:top w:w="80" w:type="dxa"/>
              <w:start w:w="120" w:type="dxa"/>
              <w:bottom w:w="80" w:type="dxa"/>
              <w:end w:w="120" w:type="dxa"/>
            </w:tcMar>
            <w:vAlign w:val="center"/>
          </w:tcPr>
          <w:p>
            <w:pPr>
              <w:spacing w:after="0" w:line="252" w:lineRule="auto"/>
            </w:pPr>
            <w:r>
              <w:rPr>
                <w:rFonts w:ascii="Calibri" w:hAnsi="Calibri"/>
                <w:color w:val="000000"/>
                <w:sz w:val="17"/>
              </w:rPr>
              <w:t>Headline effects persist or scope is explicitly limited</w:t>
            </w:r>
          </w:p>
        </w:tc>
      </w:tr>
    </w:tbl>
    <w:p>
      <w:pPr>
        <w:spacing w:after="40"/>
      </w:pPr>
    </w:p>
    <w:p>
      <w:pPr>
        <w:pStyle w:val="Heading1"/>
        <w:keepNext/>
        <w:pageBreakBefore w:val="0"/>
      </w:pPr>
      <w:r>
        <w:rPr>
          <w:rFonts w:ascii="Calibri" w:hAnsi="Calibri"/>
          <w:b/>
          <w:color w:val="2E74B5"/>
          <w:sz w:val="32"/>
        </w:rPr>
        <w:t>9. Recommended production model blueprint</w:t>
      </w:r>
    </w:p>
    <w:p>
      <w:pPr>
        <w:keepLines w:val="0"/>
        <w:spacing w:before="0" w:after="120" w:line="264" w:lineRule="auto"/>
      </w:pPr>
      <w:r>
        <w:rPr>
          <w:rFonts w:ascii="Calibri" w:hAnsi="Calibri"/>
          <w:b w:val="0"/>
          <w:i w:val="0"/>
          <w:color w:val="000000"/>
          <w:sz w:val="22"/>
        </w:rPr>
        <w:t>The following is a defensible next architecture, not a conclusion forced by the current data. It preserves the best existing ideas while resolving the largest contradictions.</w:t>
      </w:r>
    </w:p>
    <w:p>
      <w:pPr>
        <w:pStyle w:val="Heading2"/>
        <w:keepNext/>
        <w:pageBreakBefore w:val="0"/>
      </w:pPr>
      <w:r>
        <w:rPr>
          <w:rFonts w:ascii="Calibri" w:hAnsi="Calibri"/>
          <w:b/>
          <w:color w:val="2E74B5"/>
          <w:sz w:val="26"/>
        </w:rPr>
        <w:t>9.1 Latent ecological state</w:t>
      </w:r>
    </w:p>
    <w:p>
      <w:pPr>
        <w:keepLines/>
        <w:spacing w:before="100" w:after="160"/>
        <w:jc w:val="center"/>
      </w:pPr>
      <w:r>
        <w:rPr>
          <w:rFonts w:ascii="Cambria Math" w:hAnsi="Cambria Math"/>
          <w:i/>
          <w:color w:val="172B3A"/>
          <w:sz w:val="23"/>
        </w:rPr>
        <w:t>Zₜ = (B_state, Q_state, optional Hₜ, observed calendar/covariates)</w:t>
      </w:r>
    </w:p>
    <w:p>
      <w:pPr>
        <w:keepLines w:val="0"/>
        <w:spacing w:before="0" w:after="120" w:line="264" w:lineRule="auto"/>
      </w:pPr>
      <w:r>
        <w:rPr>
          <w:rFonts w:ascii="Calibri" w:hAnsi="Calibri"/>
          <w:b w:val="0"/>
          <w:i w:val="0"/>
          <w:color w:val="000000"/>
          <w:sz w:val="22"/>
        </w:rPr>
        <w:t>Use ordered B regimes and two or three Q regimes initially. Allow B and Q transitions to depend on season and candidate environmental covariates, and compare an independent Kronecker generator with a coupled joint generator. If the decision epoch is weekly and validated kinetics are genuinely fast, integrate H analytically; if decisions are daily, retain H or sufficient lagged exposure.</w:t>
      </w:r>
    </w:p>
    <w:p>
      <w:pPr>
        <w:pStyle w:val="Heading2"/>
        <w:keepNext/>
        <w:pageBreakBefore w:val="0"/>
      </w:pPr>
      <w:r>
        <w:rPr>
          <w:rFonts w:ascii="Calibri" w:hAnsi="Calibri"/>
          <w:b/>
          <w:color w:val="2E74B5"/>
          <w:sz w:val="26"/>
        </w:rPr>
        <w:t>9.2 Observation model</w:t>
      </w:r>
    </w:p>
    <w:p>
      <w:pPr>
        <w:keepLines/>
        <w:spacing w:before="100" w:after="160"/>
        <w:jc w:val="center"/>
      </w:pPr>
      <w:r>
        <w:rPr>
          <w:rFonts w:ascii="Cambria Math" w:hAnsi="Cambria Math"/>
          <w:i/>
          <w:color w:val="172B3A"/>
          <w:sz w:val="23"/>
        </w:rPr>
        <w:t>X_B,t = μ_B[Bₜ] + η_B,t</w:t>
      </w:r>
    </w:p>
    <w:p>
      <w:pPr>
        <w:keepLines/>
        <w:spacing w:before="100" w:after="160"/>
        <w:jc w:val="center"/>
      </w:pPr>
      <w:r>
        <w:rPr>
          <w:rFonts w:ascii="Cambria Math" w:hAnsi="Cambria Math"/>
          <w:i/>
          <w:color w:val="172B3A"/>
          <w:sz w:val="23"/>
        </w:rPr>
        <w:t>log cellsₜ ~ hurdle / count model around X_B,t</w:t>
      </w:r>
    </w:p>
    <w:p>
      <w:pPr>
        <w:keepLines/>
        <w:spacing w:before="100" w:after="160"/>
        <w:jc w:val="center"/>
      </w:pPr>
      <w:r>
        <w:rPr>
          <w:rFonts w:ascii="Cambria Math" w:hAnsi="Cambria Math"/>
          <w:i/>
          <w:color w:val="172B3A"/>
          <w:sz w:val="23"/>
        </w:rPr>
        <w:t>log pDAₜ = X_B,t + ν_Q[Qₜ] + ε_pDA,t</w:t>
      </w:r>
    </w:p>
    <w:p>
      <w:pPr>
        <w:keepLines/>
        <w:spacing w:before="100" w:after="160"/>
        <w:jc w:val="center"/>
      </w:pPr>
      <w:r>
        <w:rPr>
          <w:rFonts w:ascii="Cambria Math" w:hAnsi="Cambria Math"/>
          <w:i/>
          <w:color w:val="172B3A"/>
          <w:sz w:val="23"/>
        </w:rPr>
        <w:t>tissue samples yₜm ~ censored lognormal(Hₜ, σ_species/site)</w:t>
      </w:r>
    </w:p>
    <w:p>
      <w:pPr>
        <w:keepLines w:val="0"/>
        <w:spacing w:before="0" w:after="120" w:line="264" w:lineRule="auto"/>
      </w:pPr>
      <w:r>
        <w:rPr>
          <w:rFonts w:ascii="Calibri" w:hAnsi="Calibri"/>
          <w:b w:val="0"/>
          <w:i w:val="0"/>
          <w:color w:val="000000"/>
          <w:sz w:val="22"/>
        </w:rPr>
        <w:t>Retain samples rather than weekly maxima. If species labels are only coarse 'Sea Mussel'/'Bay Mussel', treat the taxonomy statement as uncertain or add a verified mapping. Model the sampling process or include season/program-era covariates if missingness is informative.</w:t>
      </w:r>
    </w:p>
    <w:p>
      <w:pPr>
        <w:pStyle w:val="Heading2"/>
        <w:keepNext/>
        <w:pageBreakBefore w:val="0"/>
      </w:pPr>
      <w:r>
        <w:rPr>
          <w:rFonts w:ascii="Calibri" w:hAnsi="Calibri"/>
          <w:b/>
          <w:color w:val="2E74B5"/>
          <w:sz w:val="26"/>
        </w:rPr>
        <w:t>9.3 Remote channel and belief update</w:t>
      </w:r>
    </w:p>
    <w:p>
      <w:pPr>
        <w:keepLines/>
        <w:spacing w:before="100" w:after="160"/>
        <w:jc w:val="center"/>
      </w:pPr>
      <w:r>
        <w:rPr>
          <w:rFonts w:ascii="Cambria Math" w:hAnsi="Cambria Math"/>
          <w:i/>
          <w:color w:val="172B3A"/>
          <w:sz w:val="23"/>
        </w:rPr>
        <w:t>b⁻ₜ₊₁(z′) = Σ_z bₜ(z) T(z′|z,aₜ)</w:t>
      </w:r>
    </w:p>
    <w:p>
      <w:pPr>
        <w:keepLines/>
        <w:spacing w:before="100" w:after="160"/>
        <w:jc w:val="center"/>
      </w:pPr>
      <w:r>
        <w:rPr>
          <w:rFonts w:ascii="Cambria Math" w:hAnsi="Cambria Math"/>
          <w:i/>
          <w:color w:val="172B3A"/>
          <w:sz w:val="23"/>
        </w:rPr>
        <w:t>bₜ₊₁(z′) ∝ O(oₜ₊₁|z′) b⁻ₜ₊₁(z′)</w:t>
      </w:r>
    </w:p>
    <w:p>
      <w:pPr>
        <w:keepLines w:val="0"/>
        <w:spacing w:before="0" w:after="120" w:line="264" w:lineRule="auto"/>
      </w:pPr>
      <w:r>
        <w:rPr>
          <w:rFonts w:ascii="Calibri" w:hAnsi="Calibri"/>
          <w:b w:val="0"/>
          <w:i w:val="0"/>
          <w:color w:val="000000"/>
          <w:sz w:val="22"/>
        </w:rPr>
        <w:t>Estimate O from held-out C-HARM/field matchups. Treat PN, pDA, and cDA products as a multivariate channel, with a biomass-only ablation. Do not inject remote products into the ecological transition fit if the research design requires a clean information-versus-world decomposition.</w:t>
      </w:r>
    </w:p>
    <w:p>
      <w:pPr>
        <w:pStyle w:val="Heading2"/>
        <w:keepNext/>
        <w:pageBreakBefore w:val="0"/>
      </w:pPr>
      <w:r>
        <w:rPr>
          <w:rFonts w:ascii="Calibri" w:hAnsi="Calibri"/>
          <w:b/>
          <w:color w:val="2E74B5"/>
          <w:sz w:val="26"/>
        </w:rPr>
        <w:t>9.4 Decision and VoI</w:t>
      </w:r>
    </w:p>
    <w:p>
      <w:pPr>
        <w:keepLines/>
        <w:spacing w:before="100" w:after="160"/>
        <w:jc w:val="center"/>
      </w:pPr>
      <w:r>
        <w:rPr>
          <w:rFonts w:ascii="Cambria Math" w:hAnsi="Cambria Math"/>
          <w:i/>
          <w:color w:val="172B3A"/>
          <w:sz w:val="23"/>
        </w:rPr>
        <w:t>V*(b) = max_a { r(b,a) + γ Σ_o P(o|b,a) V*(τ(b,a,o)) }</w:t>
      </w:r>
    </w:p>
    <w:p>
      <w:pPr>
        <w:keepLines/>
        <w:spacing w:before="100" w:after="160"/>
        <w:jc w:val="center"/>
      </w:pPr>
      <w:r>
        <w:rPr>
          <w:rFonts w:ascii="Cambria Math" w:hAnsi="Cambria Math"/>
          <w:i/>
          <w:color w:val="172B3A"/>
          <w:sz w:val="23"/>
        </w:rPr>
        <w:t>VoI_gross = V*with optional information − V*baseline</w:t>
      </w:r>
    </w:p>
    <w:p>
      <w:pPr>
        <w:keepLines/>
        <w:spacing w:before="100" w:after="160"/>
        <w:jc w:val="center"/>
      </w:pPr>
      <w:r>
        <w:rPr>
          <w:rFonts w:ascii="Cambria Math" w:hAnsi="Cambria Math"/>
          <w:i/>
          <w:color w:val="172B3A"/>
          <w:sz w:val="23"/>
        </w:rPr>
        <w:t>VoI_net = VoI_gross − fixed adoption cost</w:t>
      </w:r>
    </w:p>
    <w:p>
      <w:pPr>
        <w:keepLines w:val="0"/>
        <w:spacing w:before="0" w:after="120" w:line="264" w:lineRule="auto"/>
      </w:pPr>
      <w:r>
        <w:rPr>
          <w:rFonts w:ascii="Calibri" w:hAnsi="Calibri"/>
          <w:b w:val="0"/>
          <w:i w:val="0"/>
          <w:color w:val="000000"/>
          <w:sz w:val="22"/>
        </w:rPr>
        <w:t>The reward should target the probability and consequence of tissue DA exceeding 20 ppm, not a decoded latent label. Policy comparisons must use the same horizon, discounting, initial belief, transition uncertainty, and evaluation simulation. Posterior parameter draws should propagate ecological uncertainty through value estimates.</w:t>
      </w:r>
    </w:p>
    <w:p>
      <w:pPr>
        <w:pStyle w:val="Heading1"/>
        <w:keepNext/>
        <w:pageBreakBefore w:val="0"/>
      </w:pPr>
      <w:r>
        <w:rPr>
          <w:rFonts w:ascii="Calibri" w:hAnsi="Calibri"/>
          <w:b/>
          <w:color w:val="2E74B5"/>
          <w:sz w:val="32"/>
        </w:rPr>
        <w:t>10. Appendix A — Current code and artifact map</w:t>
      </w:r>
    </w:p>
    <w:tbl>
      <w:tblPr>
        <w:tblStyle w:val="TableGrid"/>
        <w:jc w:val="left"/>
        <w:tblLook w:firstColumn="1" w:firstRow="1" w:lastColumn="0" w:lastRow="0" w:noHBand="0" w:noVBand="1" w:val="04A0"/>
        <w:tblW w:w="9360" w:type="dxa"/>
        <w:tblInd w:w="120" w:type="dxa"/>
        <w:tblLayout w:type="fixed"/>
      </w:tblPr>
      <w:tblGrid>
        <w:gridCol w:w="2200"/>
        <w:gridCol w:w="3400"/>
        <w:gridCol w:w="3760"/>
      </w:tblGrid>
      <w:tr>
        <w:trPr>
          <w:tblHeader w:val="true"/>
        </w:trPr>
        <w:tc>
          <w:tcPr>
            <w:tcW w:type="dxa" w:w="2200"/>
            <w:shd w:fill="F2F4F7"/>
            <w:tcMar>
              <w:top w:w="80" w:type="dxa"/>
              <w:start w:w="120" w:type="dxa"/>
              <w:bottom w:w="80" w:type="dxa"/>
              <w:end w:w="120" w:type="dxa"/>
            </w:tcMar>
            <w:vAlign w:val="center"/>
          </w:tcPr>
          <w:p>
            <w:pPr>
              <w:spacing w:after="0"/>
            </w:pPr>
            <w:r>
              <w:rPr>
                <w:rFonts w:ascii="Calibri" w:hAnsi="Calibri"/>
                <w:b/>
                <w:color w:val="172B3A"/>
                <w:sz w:val="16"/>
              </w:rPr>
              <w:t>Component</w:t>
            </w:r>
          </w:p>
        </w:tc>
        <w:tc>
          <w:tcPr>
            <w:tcW w:type="dxa" w:w="3400"/>
            <w:shd w:fill="F2F4F7"/>
            <w:tcMar>
              <w:top w:w="80" w:type="dxa"/>
              <w:start w:w="120" w:type="dxa"/>
              <w:bottom w:w="80" w:type="dxa"/>
              <w:end w:w="120" w:type="dxa"/>
            </w:tcMar>
            <w:vAlign w:val="center"/>
          </w:tcPr>
          <w:p>
            <w:pPr>
              <w:spacing w:after="0"/>
            </w:pPr>
            <w:r>
              <w:rPr>
                <w:rFonts w:ascii="Calibri" w:hAnsi="Calibri"/>
                <w:b/>
                <w:color w:val="172B3A"/>
                <w:sz w:val="16"/>
              </w:rPr>
              <w:t>Current role</w:t>
            </w:r>
          </w:p>
        </w:tc>
        <w:tc>
          <w:tcPr>
            <w:tcW w:type="dxa" w:w="3760"/>
            <w:shd w:fill="F2F4F7"/>
            <w:tcMar>
              <w:top w:w="80" w:type="dxa"/>
              <w:start w:w="120" w:type="dxa"/>
              <w:bottom w:w="80" w:type="dxa"/>
              <w:end w:w="120" w:type="dxa"/>
            </w:tcMar>
            <w:vAlign w:val="center"/>
          </w:tcPr>
          <w:p>
            <w:pPr>
              <w:spacing w:after="0"/>
            </w:pPr>
            <w:r>
              <w:rPr>
                <w:rFonts w:ascii="Calibri" w:hAnsi="Calibri"/>
                <w:b/>
                <w:color w:val="172B3A"/>
                <w:sz w:val="16"/>
              </w:rPr>
              <w:t>Primary audit status</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config.py</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Sites, radius, thresholds, column maps</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Counts/comments stale; SCW scope ambiguous</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data.py</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Raw ingestion, weekly panels, coordinate matching</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Functional; canonical overwrite and aggregation issues</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worldmodel/model.py</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Stationary scalar CT-HMM</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Sound skeleton; gap/floor approximations</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worldmodel/emissions.py</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Hurdle cells + categorical tissue</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Positive-part monotonicity fixed; tissue/zero constraints incomplete</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worldmodel/seasonal.py</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Harmonic rates and grid filter</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Transition product correct; 53-week cycle approximate</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worldmodel/factorial.py</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B×Q model + continuous tissue</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Promising; residual independence and no runner/PPC</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worldmodel/tissue.py</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Exact-date kinetic model</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Correct recursion; likelihood/detail and provenance gaps</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worldmodel/selection.py</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Likelihood reconstruction and smoother</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Exact factorization; ordinary LOO not observation deletion</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worldmodel/lfo.py</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Generic PSIS-LFO utility</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Not called or artifacted</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worldmodel/export.py</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Scalar-model NPZ export</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Does not export central factorial model or provenance</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scripts/01_fit_worldmodel.py</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K scan and scalar export</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Convergence gate improved; scores older panel</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scripts/02_fit_seasonal.py</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Seasonal scalar fit/export</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Still ordinary LOO; older panel</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scripts/03_match_radius_scan.py</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3/5 km comparison</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Overwrites canonical files inside loop</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R/fit_toxicity_msm.R</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Tissue-only reference scan</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Consumes stale four-site panel</w:t>
            </w:r>
          </w:p>
        </w:tc>
      </w:tr>
      <w:t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README / methodology</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Handoff and scientific narrative</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Overstates completion and reproducibility</w:t>
            </w:r>
          </w:p>
        </w:tc>
      </w:tr>
    </w:tbl>
    <w:p>
      <w:pPr>
        <w:spacing w:after="40"/>
      </w:pPr>
    </w:p>
    <w:p>
      <w:pPr>
        <w:pStyle w:val="Heading1"/>
        <w:keepNext/>
        <w:pageBreakBefore w:val="0"/>
      </w:pPr>
      <w:r>
        <w:rPr>
          <w:rFonts w:ascii="Calibri" w:hAnsi="Calibri"/>
          <w:b/>
          <w:color w:val="2E74B5"/>
          <w:sz w:val="32"/>
        </w:rPr>
        <w:t>11. Appendix B — Numerical evidence reproduced in this review</w:t>
      </w:r>
    </w:p>
    <w:tbl>
      <w:tblPr>
        <w:tblStyle w:val="TableGrid"/>
        <w:jc w:val="left"/>
        <w:tblLook w:firstColumn="1" w:firstRow="1" w:lastColumn="0" w:lastRow="0" w:noHBand="0" w:noVBand="1" w:val="04A0"/>
        <w:tblW w:w="9360" w:type="dxa"/>
        <w:tblInd w:w="120" w:type="dxa"/>
        <w:tblLayout w:type="fixed"/>
      </w:tblPr>
      <w:tblGrid>
        <w:gridCol w:w="2700"/>
        <w:gridCol w:w="2500"/>
        <w:gridCol w:w="4160"/>
      </w:tblGrid>
      <w:tr>
        <w:trPr>
          <w:tblHeader w:val="true"/>
        </w:trPr>
        <w:tc>
          <w:tcPr>
            <w:tcW w:type="dxa" w:w="2700"/>
            <w:shd w:fill="F2F4F7"/>
            <w:tcMar>
              <w:top w:w="80" w:type="dxa"/>
              <w:start w:w="120" w:type="dxa"/>
              <w:bottom w:w="80" w:type="dxa"/>
              <w:end w:w="120" w:type="dxa"/>
            </w:tcMar>
            <w:vAlign w:val="center"/>
          </w:tcPr>
          <w:p>
            <w:pPr>
              <w:spacing w:after="0"/>
            </w:pPr>
            <w:r>
              <w:rPr>
                <w:rFonts w:ascii="Calibri" w:hAnsi="Calibri"/>
                <w:b/>
                <w:color w:val="172B3A"/>
                <w:sz w:val="16"/>
              </w:rPr>
              <w:t>Quantity</w:t>
            </w:r>
          </w:p>
        </w:tc>
        <w:tc>
          <w:tcPr>
            <w:tcW w:type="dxa" w:w="2500"/>
            <w:shd w:fill="F2F4F7"/>
            <w:tcMar>
              <w:top w:w="80" w:type="dxa"/>
              <w:start w:w="120" w:type="dxa"/>
              <w:bottom w:w="80" w:type="dxa"/>
              <w:end w:w="120" w:type="dxa"/>
            </w:tcMar>
            <w:vAlign w:val="center"/>
          </w:tcPr>
          <w:p>
            <w:pPr>
              <w:spacing w:after="0"/>
            </w:pPr>
            <w:r>
              <w:rPr>
                <w:rFonts w:ascii="Calibri" w:hAnsi="Calibri"/>
                <w:b/>
                <w:color w:val="172B3A"/>
                <w:sz w:val="16"/>
              </w:rPr>
              <w:t>Value</w:t>
            </w:r>
          </w:p>
        </w:tc>
        <w:tc>
          <w:tcPr>
            <w:tcW w:type="dxa" w:w="4160"/>
            <w:shd w:fill="F2F4F7"/>
            <w:tcMar>
              <w:top w:w="80" w:type="dxa"/>
              <w:start w:w="120" w:type="dxa"/>
              <w:bottom w:w="80" w:type="dxa"/>
              <w:end w:w="120" w:type="dxa"/>
            </w:tcMar>
            <w:vAlign w:val="center"/>
          </w:tcPr>
          <w:p>
            <w:pPr>
              <w:spacing w:after="0"/>
            </w:pPr>
            <w:r>
              <w:rPr>
                <w:rFonts w:ascii="Calibri" w:hAnsi="Calibri"/>
                <w:b/>
                <w:color w:val="172B3A"/>
                <w:sz w:val="16"/>
              </w:rPr>
              <w:t>Interpretation</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000000"/>
                <w:sz w:val="16"/>
              </w:rPr>
              <w:t>Current SCW model weeks</w:t>
            </w:r>
          </w:p>
        </w:tc>
        <w:tc>
          <w:tcPr>
            <w:tcW w:type="dxa" w:w="2500"/>
            <w:tcMar>
              <w:top w:w="80" w:type="dxa"/>
              <w:start w:w="120" w:type="dxa"/>
              <w:bottom w:w="80" w:type="dxa"/>
              <w:end w:w="120" w:type="dxa"/>
            </w:tcMar>
            <w:vAlign w:val="center"/>
          </w:tcPr>
          <w:p>
            <w:pPr>
              <w:spacing w:after="0" w:line="252" w:lineRule="auto"/>
            </w:pPr>
            <w:r>
              <w:rPr>
                <w:rFonts w:ascii="Calibri" w:hAnsi="Calibri"/>
                <w:color w:val="000000"/>
                <w:sz w:val="16"/>
              </w:rPr>
              <w:t>1,034</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6"/>
              </w:rPr>
              <w:t>Union of nonmissing cells or tissue in current 3 km joint panel</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000000"/>
                <w:sz w:val="16"/>
              </w:rPr>
              <w:t>Stored scalar/seasonal likelihood weeks</w:t>
            </w:r>
          </w:p>
        </w:tc>
        <w:tc>
          <w:tcPr>
            <w:tcW w:type="dxa" w:w="2500"/>
            <w:tcMar>
              <w:top w:w="80" w:type="dxa"/>
              <w:start w:w="120" w:type="dxa"/>
              <w:bottom w:w="80" w:type="dxa"/>
              <w:end w:w="120" w:type="dxa"/>
            </w:tcMar>
            <w:vAlign w:val="center"/>
          </w:tcPr>
          <w:p>
            <w:pPr>
              <w:spacing w:after="0" w:line="252" w:lineRule="auto"/>
            </w:pPr>
            <w:r>
              <w:rPr>
                <w:rFonts w:ascii="Calibri" w:hAnsi="Calibri"/>
                <w:color w:val="000000"/>
                <w:sz w:val="16"/>
              </w:rPr>
              <w:t>1,023</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6"/>
              </w:rPr>
              <w:t>Artifacts predate current panel</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000000"/>
                <w:sz w:val="16"/>
              </w:rPr>
              <w:t>Current SCW water/tissue weeks</w:t>
            </w:r>
          </w:p>
        </w:tc>
        <w:tc>
          <w:tcPr>
            <w:tcW w:type="dxa" w:w="2500"/>
            <w:tcMar>
              <w:top w:w="80" w:type="dxa"/>
              <w:start w:w="120" w:type="dxa"/>
              <w:bottom w:w="80" w:type="dxa"/>
              <w:end w:w="120" w:type="dxa"/>
            </w:tcMar>
            <w:vAlign w:val="center"/>
          </w:tcPr>
          <w:p>
            <w:pPr>
              <w:spacing w:after="0" w:line="252" w:lineRule="auto"/>
            </w:pPr>
            <w:r>
              <w:rPr>
                <w:rFonts w:ascii="Calibri" w:hAnsi="Calibri"/>
                <w:color w:val="000000"/>
                <w:sz w:val="16"/>
              </w:rPr>
              <w:t>667 cells; 717 pDA; 675 tissue</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6"/>
              </w:rPr>
              <w:t>Documentation’s 663 tissue count is stale</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000000"/>
                <w:sz w:val="16"/>
              </w:rPr>
              <w:t>Current SCW closure weeks</w:t>
            </w:r>
          </w:p>
        </w:tc>
        <w:tc>
          <w:tcPr>
            <w:tcW w:type="dxa" w:w="2500"/>
            <w:tcMar>
              <w:top w:w="80" w:type="dxa"/>
              <w:start w:w="120" w:type="dxa"/>
              <w:bottom w:w="80" w:type="dxa"/>
              <w:end w:w="120" w:type="dxa"/>
            </w:tcMar>
            <w:vAlign w:val="center"/>
          </w:tcPr>
          <w:p>
            <w:pPr>
              <w:spacing w:after="0" w:line="252" w:lineRule="auto"/>
            </w:pPr>
            <w:r>
              <w:rPr>
                <w:rFonts w:ascii="Calibri" w:hAnsi="Calibri"/>
                <w:color w:val="000000"/>
                <w:sz w:val="16"/>
              </w:rPr>
              <w:t>22</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6"/>
              </w:rPr>
              <w:t>Sparse tail outcome</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000000"/>
                <w:sz w:val="16"/>
              </w:rPr>
              <w:t>Exact-date water-era tissue</w:t>
            </w:r>
          </w:p>
        </w:tc>
        <w:tc>
          <w:tcPr>
            <w:tcW w:type="dxa" w:w="2500"/>
            <w:tcMar>
              <w:top w:w="80" w:type="dxa"/>
              <w:start w:w="120" w:type="dxa"/>
              <w:bottom w:w="80" w:type="dxa"/>
              <w:end w:w="120" w:type="dxa"/>
            </w:tcMar>
            <w:vAlign w:val="center"/>
          </w:tcPr>
          <w:p>
            <w:pPr>
              <w:spacing w:after="0" w:line="252" w:lineRule="auto"/>
            </w:pPr>
            <w:r>
              <w:rPr>
                <w:rFonts w:ascii="Calibri" w:hAnsi="Calibri"/>
                <w:color w:val="000000"/>
                <w:sz w:val="16"/>
              </w:rPr>
              <w:t>355 observations; 11 closures; 317 censored</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6"/>
              </w:rPr>
              <w:t>Kinetics/calibration evidence is thin</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000000"/>
                <w:sz w:val="16"/>
              </w:rPr>
              <w:t>SCW tissue aggregation</w:t>
            </w:r>
          </w:p>
        </w:tc>
        <w:tc>
          <w:tcPr>
            <w:tcW w:type="dxa" w:w="2500"/>
            <w:tcMar>
              <w:top w:w="80" w:type="dxa"/>
              <w:start w:w="120" w:type="dxa"/>
              <w:bottom w:w="80" w:type="dxa"/>
              <w:end w:w="120" w:type="dxa"/>
            </w:tcMar>
            <w:vAlign w:val="center"/>
          </w:tcPr>
          <w:p>
            <w:pPr>
              <w:spacing w:after="0" w:line="252" w:lineRule="auto"/>
            </w:pPr>
            <w:r>
              <w:rPr>
                <w:rFonts w:ascii="Calibri" w:hAnsi="Calibri"/>
                <w:color w:val="000000"/>
                <w:sz w:val="16"/>
              </w:rPr>
              <w:t>30 of 675 weeks have n&gt;1</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6"/>
              </w:rPr>
              <w:t>Maximum likelihood should depend on n</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000000"/>
                <w:sz w:val="16"/>
              </w:rPr>
              <w:t>K=4 scalar diagnostics</w:t>
            </w:r>
          </w:p>
        </w:tc>
        <w:tc>
          <w:tcPr>
            <w:tcW w:type="dxa" w:w="2500"/>
            <w:tcMar>
              <w:top w:w="80" w:type="dxa"/>
              <w:start w:w="120" w:type="dxa"/>
              <w:bottom w:w="80" w:type="dxa"/>
              <w:end w:w="120" w:type="dxa"/>
            </w:tcMar>
            <w:vAlign w:val="center"/>
          </w:tcPr>
          <w:p>
            <w:pPr>
              <w:spacing w:after="0" w:line="252" w:lineRule="auto"/>
            </w:pPr>
            <w:r>
              <w:rPr>
                <w:rFonts w:ascii="Calibri" w:hAnsi="Calibri"/>
                <w:color w:val="000000"/>
                <w:sz w:val="16"/>
              </w:rPr>
              <w:t>R-hat 1.007; 0 divergences; min ESS bulk/tail 439/515</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6"/>
              </w:rPr>
              <w:t>Computationally acceptable older fit</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000000"/>
                <w:sz w:val="16"/>
              </w:rPr>
              <w:t>Seasonal K=4 diagnostics</w:t>
            </w:r>
          </w:p>
        </w:tc>
        <w:tc>
          <w:tcPr>
            <w:tcW w:type="dxa" w:w="2500"/>
            <w:tcMar>
              <w:top w:w="80" w:type="dxa"/>
              <w:start w:w="120" w:type="dxa"/>
              <w:bottom w:w="80" w:type="dxa"/>
              <w:end w:w="120" w:type="dxa"/>
            </w:tcMar>
            <w:vAlign w:val="center"/>
          </w:tcPr>
          <w:p>
            <w:pPr>
              <w:spacing w:after="0" w:line="252" w:lineRule="auto"/>
            </w:pPr>
            <w:r>
              <w:rPr>
                <w:rFonts w:ascii="Calibri" w:hAnsi="Calibri"/>
                <w:color w:val="000000"/>
                <w:sz w:val="16"/>
              </w:rPr>
              <w:t>R-hat 1.012; 0 divergences; min ESS bulk/tail 640/641</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6"/>
              </w:rPr>
              <w:t>Computationally acceptable older fit</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000000"/>
                <w:sz w:val="16"/>
              </w:rPr>
              <w:t>Factorial diagnostics</w:t>
            </w:r>
          </w:p>
        </w:tc>
        <w:tc>
          <w:tcPr>
            <w:tcW w:type="dxa" w:w="2500"/>
            <w:tcMar>
              <w:top w:w="80" w:type="dxa"/>
              <w:start w:w="120" w:type="dxa"/>
              <w:bottom w:w="80" w:type="dxa"/>
              <w:end w:w="120" w:type="dxa"/>
            </w:tcMar>
            <w:vAlign w:val="center"/>
          </w:tcPr>
          <w:p>
            <w:pPr>
              <w:spacing w:after="0" w:line="252" w:lineRule="auto"/>
            </w:pPr>
            <w:r>
              <w:rPr>
                <w:rFonts w:ascii="Calibri" w:hAnsi="Calibri"/>
                <w:color w:val="000000"/>
                <w:sz w:val="16"/>
              </w:rPr>
              <w:t>R-hat 1.008; 0 divergences; min ESS bulk/tail 466/588</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6"/>
              </w:rPr>
              <w:t>Computationally acceptable saved fit</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000000"/>
                <w:sz w:val="16"/>
              </w:rPr>
              <w:t>Factorial posterior means</w:t>
            </w:r>
          </w:p>
        </w:tc>
        <w:tc>
          <w:tcPr>
            <w:tcW w:type="dxa" w:w="2500"/>
            <w:tcMar>
              <w:top w:w="80" w:type="dxa"/>
              <w:start w:w="120" w:type="dxa"/>
              <w:bottom w:w="80" w:type="dxa"/>
              <w:end w:w="120" w:type="dxa"/>
            </w:tcMar>
            <w:vAlign w:val="center"/>
          </w:tcPr>
          <w:p>
            <w:pPr>
              <w:spacing w:after="0" w:line="252" w:lineRule="auto"/>
            </w:pPr>
            <w:r>
              <w:rPr>
                <w:rFonts w:ascii="Calibri" w:hAnsi="Calibri"/>
                <w:color w:val="000000"/>
                <w:sz w:val="16"/>
              </w:rPr>
              <w:t>B≈163/1,493/39,856; Q ratio≈9.4×</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6"/>
              </w:rPr>
              <w:t>Model-based regimes</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000000"/>
                <w:sz w:val="16"/>
              </w:rPr>
              <w:t>Worst-state closure probability</w:t>
            </w:r>
          </w:p>
        </w:tc>
        <w:tc>
          <w:tcPr>
            <w:tcW w:type="dxa" w:w="2500"/>
            <w:tcMar>
              <w:top w:w="80" w:type="dxa"/>
              <w:start w:w="120" w:type="dxa"/>
              <w:bottom w:w="80" w:type="dxa"/>
              <w:end w:w="120" w:type="dxa"/>
            </w:tcMar>
            <w:vAlign w:val="center"/>
          </w:tcPr>
          <w:p>
            <w:pPr>
              <w:spacing w:after="0" w:line="252" w:lineRule="auto"/>
            </w:pPr>
            <w:r>
              <w:rPr>
                <w:rFonts w:ascii="Calibri" w:hAnsi="Calibri"/>
                <w:color w:val="000000"/>
                <w:sz w:val="16"/>
              </w:rPr>
              <w:t>33.0% posterior mean</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6"/>
              </w:rPr>
              <w:t>Not yet held-out calibrated</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000000"/>
                <w:sz w:val="16"/>
              </w:rPr>
              <w:t>Positive cells/pDA empirical relation</w:t>
            </w:r>
          </w:p>
        </w:tc>
        <w:tc>
          <w:tcPr>
            <w:tcW w:type="dxa" w:w="2500"/>
            <w:tcMar>
              <w:top w:w="80" w:type="dxa"/>
              <w:start w:w="120" w:type="dxa"/>
              <w:bottom w:w="80" w:type="dxa"/>
              <w:end w:w="120" w:type="dxa"/>
            </w:tcMar>
            <w:vAlign w:val="center"/>
          </w:tcPr>
          <w:p>
            <w:pPr>
              <w:spacing w:after="0" w:line="252" w:lineRule="auto"/>
            </w:pPr>
            <w:r>
              <w:rPr>
                <w:rFonts w:ascii="Calibri" w:hAnsi="Calibri"/>
                <w:color w:val="000000"/>
                <w:sz w:val="16"/>
              </w:rPr>
              <w:t>n=172; r=0.742; slope=0.733</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6"/>
              </w:rPr>
              <w:t>Supports nonconstant quota, not causal separation</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000000"/>
                <w:sz w:val="16"/>
              </w:rPr>
              <w:t>Coordinate matching</w:t>
            </w:r>
          </w:p>
        </w:tc>
        <w:tc>
          <w:tcPr>
            <w:tcW w:type="dxa" w:w="2500"/>
            <w:tcMar>
              <w:top w:w="80" w:type="dxa"/>
              <w:start w:w="120" w:type="dxa"/>
              <w:bottom w:w="80" w:type="dxa"/>
              <w:end w:w="120" w:type="dxa"/>
            </w:tcMar>
            <w:vAlign w:val="center"/>
          </w:tcPr>
          <w:p>
            <w:pPr>
              <w:spacing w:after="0" w:line="252" w:lineRule="auto"/>
            </w:pPr>
            <w:r>
              <w:rPr>
                <w:rFonts w:ascii="Calibri" w:hAnsi="Calibri"/>
                <w:color w:val="000000"/>
                <w:sz w:val="16"/>
              </w:rPr>
              <w:t>4,513 samples; 15 stations at 3 km</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6"/>
              </w:rPr>
              <w:t>Major coverage improvement</w:t>
            </w:r>
          </w:p>
        </w:tc>
      </w:tr>
      <w:tr>
        <w:tc>
          <w:tcPr>
            <w:tcW w:type="dxa" w:w="2700"/>
            <w:tcMar>
              <w:top w:w="80" w:type="dxa"/>
              <w:start w:w="120" w:type="dxa"/>
              <w:bottom w:w="80" w:type="dxa"/>
              <w:end w:w="120" w:type="dxa"/>
            </w:tcMar>
            <w:vAlign w:val="center"/>
          </w:tcPr>
          <w:p>
            <w:pPr>
              <w:spacing w:after="0" w:line="252" w:lineRule="auto"/>
            </w:pPr>
            <w:r>
              <w:rPr>
                <w:rFonts w:ascii="Calibri" w:hAnsi="Calibri"/>
                <w:color w:val="000000"/>
                <w:sz w:val="16"/>
              </w:rPr>
              <w:t>Canonical artifact mismatch</w:t>
            </w:r>
          </w:p>
        </w:tc>
        <w:tc>
          <w:tcPr>
            <w:tcW w:type="dxa" w:w="2500"/>
            <w:tcMar>
              <w:top w:w="80" w:type="dxa"/>
              <w:start w:w="120" w:type="dxa"/>
              <w:bottom w:w="80" w:type="dxa"/>
              <w:end w:w="120" w:type="dxa"/>
            </w:tcMar>
            <w:vAlign w:val="center"/>
          </w:tcPr>
          <w:p>
            <w:pPr>
              <w:spacing w:after="0" w:line="252" w:lineRule="auto"/>
            </w:pPr>
            <w:r>
              <w:rPr>
                <w:rFonts w:ascii="Calibri" w:hAnsi="Calibri"/>
                <w:color w:val="000000"/>
                <w:sz w:val="16"/>
              </w:rPr>
              <w:t>cdph_weekly=5 km; joint_panel=3 km</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6"/>
              </w:rPr>
              <w:t>Same default name encodes different radii</w:t>
            </w:r>
          </w:p>
        </w:tc>
      </w:tr>
    </w:tbl>
    <w:p>
      <w:pPr>
        <w:spacing w:after="40"/>
      </w:pPr>
    </w:p>
    <w:p>
      <w:pPr>
        <w:pStyle w:val="Heading1"/>
        <w:keepNext/>
        <w:pageBreakBefore w:val="0"/>
      </w:pPr>
      <w:r>
        <w:rPr>
          <w:rFonts w:ascii="Calibri" w:hAnsi="Calibri"/>
          <w:b/>
          <w:color w:val="2E74B5"/>
          <w:sz w:val="32"/>
        </w:rPr>
        <w:t>12. Appendix C — Reproducibility checklist</w:t>
      </w:r>
    </w:p>
    <w:p>
      <w:pPr>
        <w:numPr>
          <w:ilvl w:val="0"/>
          <w:numId w:val="210"/>
        </w:numPr>
        <w:spacing w:before="0" w:after="160" w:line="280" w:lineRule="auto"/>
      </w:pPr>
      <w:r>
        <w:rPr>
          <w:rFonts w:ascii="Calibri" w:hAnsi="Calibri"/>
        </w:rPr>
        <w:t>Clean clone reproduces every input panel hash.</w:t>
      </w:r>
    </w:p>
    <w:p>
      <w:pPr>
        <w:numPr>
          <w:ilvl w:val="0"/>
          <w:numId w:val="210"/>
        </w:numPr>
        <w:spacing w:before="0" w:after="160" w:line="280" w:lineRule="auto"/>
      </w:pPr>
      <w:r>
        <w:rPr>
          <w:rFonts w:ascii="Calibri" w:hAnsi="Calibri"/>
        </w:rPr>
        <w:t>All Python and R package versions are locked.</w:t>
      </w:r>
    </w:p>
    <w:p>
      <w:pPr>
        <w:numPr>
          <w:ilvl w:val="0"/>
          <w:numId w:val="210"/>
        </w:numPr>
        <w:spacing w:before="0" w:after="160" w:line="280" w:lineRule="auto"/>
      </w:pPr>
      <w:r>
        <w:rPr>
          <w:rFonts w:ascii="Calibri" w:hAnsi="Calibri"/>
        </w:rPr>
        <w:t>Each artifact stores code revision, dirty-state hash, data hashes, config, and random seed.</w:t>
      </w:r>
    </w:p>
    <w:p>
      <w:pPr>
        <w:numPr>
          <w:ilvl w:val="0"/>
          <w:numId w:val="210"/>
        </w:numPr>
        <w:spacing w:before="0" w:after="160" w:line="280" w:lineRule="auto"/>
      </w:pPr>
      <w:r>
        <w:rPr>
          <w:rFonts w:ascii="Calibri" w:hAnsi="Calibri"/>
        </w:rPr>
        <w:t>Every documented numeric result is generated by a checked-in command.</w:t>
      </w:r>
    </w:p>
    <w:p>
      <w:pPr>
        <w:numPr>
          <w:ilvl w:val="0"/>
          <w:numId w:val="210"/>
        </w:numPr>
        <w:spacing w:before="0" w:after="160" w:line="280" w:lineRule="auto"/>
      </w:pPr>
      <w:r>
        <w:rPr>
          <w:rFonts w:ascii="Calibri" w:hAnsi="Calibri"/>
        </w:rPr>
        <w:t>No canonical file is overwritten by a sensitivity loop.</w:t>
      </w:r>
    </w:p>
    <w:p>
      <w:pPr>
        <w:numPr>
          <w:ilvl w:val="0"/>
          <w:numId w:val="210"/>
        </w:numPr>
        <w:spacing w:before="0" w:after="160" w:line="280" w:lineRule="auto"/>
      </w:pPr>
      <w:r>
        <w:rPr>
          <w:rFonts w:ascii="Calibri" w:hAnsi="Calibri"/>
        </w:rPr>
        <w:t>All model families save log likelihoods and posterior predictive draws.</w:t>
      </w:r>
    </w:p>
    <w:p>
      <w:pPr>
        <w:numPr>
          <w:ilvl w:val="0"/>
          <w:numId w:val="210"/>
        </w:numPr>
        <w:spacing w:before="0" w:after="160" w:line="280" w:lineRule="auto"/>
      </w:pPr>
      <w:r>
        <w:rPr>
          <w:rFonts w:ascii="Calibri" w:hAnsi="Calibri"/>
        </w:rPr>
        <w:t>Every model comparison records exact training indices, horizon M, cutoff L, refits, and Pareto k.</w:t>
      </w:r>
    </w:p>
    <w:p>
      <w:pPr>
        <w:numPr>
          <w:ilvl w:val="0"/>
          <w:numId w:val="210"/>
        </w:numPr>
        <w:spacing w:before="0" w:after="160" w:line="280" w:lineRule="auto"/>
      </w:pPr>
      <w:r>
        <w:rPr>
          <w:rFonts w:ascii="Calibri" w:hAnsi="Calibri"/>
        </w:rPr>
        <w:t>Plots state whether they are fitted, smoothed, posterior predictive, or held-out.</w:t>
      </w:r>
    </w:p>
    <w:p>
      <w:pPr>
        <w:numPr>
          <w:ilvl w:val="0"/>
          <w:numId w:val="210"/>
        </w:numPr>
        <w:spacing w:before="0" w:after="160" w:line="280" w:lineRule="auto"/>
      </w:pPr>
      <w:r>
        <w:rPr>
          <w:rFonts w:ascii="Calibri" w:hAnsi="Calibri"/>
        </w:rPr>
        <w:t>The production export corresponds to the model described as production.</w:t>
      </w:r>
    </w:p>
    <w:p>
      <w:pPr>
        <w:numPr>
          <w:ilvl w:val="0"/>
          <w:numId w:val="210"/>
        </w:numPr>
        <w:spacing w:before="0" w:after="160" w:line="280" w:lineRule="auto"/>
      </w:pPr>
      <w:r>
        <w:rPr>
          <w:rFonts w:ascii="Calibri" w:hAnsi="Calibri"/>
        </w:rPr>
        <w:t>The decision layer consumes a versioned export and validates dimensions/units on load.</w:t>
      </w:r>
    </w:p>
    <w:p>
      <w:pPr>
        <w:pStyle w:val="Heading1"/>
        <w:keepNext/>
        <w:pageBreakBefore w:val="0"/>
      </w:pPr>
      <w:r>
        <w:rPr>
          <w:rFonts w:ascii="Calibri" w:hAnsi="Calibri"/>
          <w:b/>
          <w:color w:val="2E74B5"/>
          <w:sz w:val="32"/>
        </w:rPr>
        <w:t>13. References</w:t>
      </w:r>
    </w:p>
    <w:p>
      <w:pPr>
        <w:spacing w:before="0" w:after="120" w:line="264" w:lineRule="auto"/>
      </w:pPr>
      <w:r>
        <w:rPr>
          <w:rFonts w:ascii="Calibri" w:hAnsi="Calibri"/>
          <w:b/>
          <w:color w:val="1F4D78"/>
        </w:rPr>
        <w:t xml:space="preserve">[R1] </w:t>
      </w:r>
      <w:r>
        <w:rPr>
          <w:rFonts w:ascii="Calibri" w:hAnsi="Calibri"/>
          <w:sz w:val="19"/>
        </w:rPr>
        <w:t>Jackson, C. H. (2011). Multi-State Models for Panel Data: The msm Package for R. Journal of Statistical Software 38(8). https://www.jstatsoft.org/article/view/v038i08</w:t>
      </w:r>
    </w:p>
    <w:p>
      <w:pPr>
        <w:spacing w:before="0" w:after="120" w:line="264" w:lineRule="auto"/>
      </w:pPr>
      <w:r>
        <w:rPr>
          <w:rFonts w:ascii="Calibri" w:hAnsi="Calibri"/>
          <w:b/>
          <w:color w:val="1F4D78"/>
        </w:rPr>
        <w:t xml:space="preserve">[R2] </w:t>
      </w:r>
      <w:r>
        <w:rPr>
          <w:rFonts w:ascii="Calibri" w:hAnsi="Calibri"/>
          <w:sz w:val="19"/>
        </w:rPr>
        <w:t>Bürkner, P.-C., Gabry, J., &amp; Vehtari, A. (2020). Approximate leave-future-out cross-validation for Bayesian time series models. Journal of Statistical Computation and Simulation 90(14), 2499–2523. https://doi.org/10.1080/00949655.2020.1783262</w:t>
      </w:r>
    </w:p>
    <w:p>
      <w:pPr>
        <w:spacing w:before="0" w:after="120" w:line="264" w:lineRule="auto"/>
      </w:pPr>
      <w:r>
        <w:rPr>
          <w:rFonts w:ascii="Calibri" w:hAnsi="Calibri"/>
          <w:b/>
          <w:color w:val="1F4D78"/>
        </w:rPr>
        <w:t xml:space="preserve">[R3] </w:t>
      </w:r>
      <w:r>
        <w:rPr>
          <w:rFonts w:ascii="Calibri" w:hAnsi="Calibri"/>
          <w:sz w:val="19"/>
        </w:rPr>
        <w:t>Vehtari, A., Simpson, D., Gelman, A., Yao, Y., &amp; Gabry, J. (2024). Pareto Smoothed Importance Sampling. Journal of Machine Learning Research 25(72), 1–58. https://jmlr.org/papers/v25/19-556.html</w:t>
      </w:r>
    </w:p>
    <w:p>
      <w:pPr>
        <w:spacing w:before="0" w:after="120" w:line="264" w:lineRule="auto"/>
      </w:pPr>
      <w:r>
        <w:rPr>
          <w:rFonts w:ascii="Calibri" w:hAnsi="Calibri"/>
          <w:b/>
          <w:color w:val="1F4D78"/>
        </w:rPr>
        <w:t xml:space="preserve">[R4] </w:t>
      </w:r>
      <w:r>
        <w:rPr>
          <w:rFonts w:ascii="Calibri" w:hAnsi="Calibri"/>
          <w:sz w:val="19"/>
        </w:rPr>
        <w:t>Vehtari, A., Gelman, A., Simpson, D., Carpenter, B., &amp; Bürkner, P.-C. (2021). Rank-normalization, folding, and localization: An improved R-hat for assessing convergence of MCMC. Bayesian Analysis 16(2), 667–718. https://doi.org/10.1214/20-BA1221</w:t>
      </w:r>
    </w:p>
    <w:p>
      <w:pPr>
        <w:spacing w:before="0" w:after="120" w:line="264" w:lineRule="auto"/>
      </w:pPr>
      <w:r>
        <w:rPr>
          <w:rFonts w:ascii="Calibri" w:hAnsi="Calibri"/>
          <w:b/>
          <w:color w:val="1F4D78"/>
        </w:rPr>
        <w:t xml:space="preserve">[R5] </w:t>
      </w:r>
      <w:r>
        <w:rPr>
          <w:rFonts w:ascii="Calibri" w:hAnsi="Calibri"/>
          <w:sz w:val="19"/>
        </w:rPr>
        <w:t>Gelman, A. et al. (2020/2025 preprint). Bayesian Workflow. https://arxiv.org/abs/2011.01808</w:t>
      </w:r>
    </w:p>
    <w:p>
      <w:pPr>
        <w:spacing w:before="0" w:after="120" w:line="264" w:lineRule="auto"/>
      </w:pPr>
      <w:r>
        <w:rPr>
          <w:rFonts w:ascii="Calibri" w:hAnsi="Calibri"/>
          <w:b/>
          <w:color w:val="1F4D78"/>
        </w:rPr>
        <w:t xml:space="preserve">[R6] </w:t>
      </w:r>
      <w:r>
        <w:rPr>
          <w:rFonts w:ascii="Calibri" w:hAnsi="Calibri"/>
          <w:sz w:val="19"/>
        </w:rPr>
        <w:t>Pohle, J., Langrock, R., van Beest, F. M., &amp; Schmidt, N. M. (2017). Selecting the Number of States in Hidden Markov Models: Pitfalls, Practical Challenges and Pragmatic Solutions. https://arxiv.org/abs/1701.08673</w:t>
      </w:r>
    </w:p>
    <w:p>
      <w:pPr>
        <w:spacing w:before="0" w:after="120" w:line="264" w:lineRule="auto"/>
      </w:pPr>
      <w:r>
        <w:rPr>
          <w:rFonts w:ascii="Calibri" w:hAnsi="Calibri"/>
          <w:b/>
          <w:color w:val="1F4D78"/>
        </w:rPr>
        <w:t xml:space="preserve">[R7] </w:t>
      </w:r>
      <w:r>
        <w:rPr>
          <w:rFonts w:ascii="Calibri" w:hAnsi="Calibri"/>
          <w:sz w:val="19"/>
        </w:rPr>
        <w:t>U.S. Integrated Ocean Observing System. California Harmful Algae Risk Mapping (C-HARM). https://ioos.noaa.gov/models/california-harmful-algae-risk-mapping-c-harm/</w:t>
      </w:r>
    </w:p>
    <w:p>
      <w:pPr>
        <w:spacing w:before="0" w:after="120" w:line="264" w:lineRule="auto"/>
      </w:pPr>
      <w:r>
        <w:rPr>
          <w:rFonts w:ascii="Calibri" w:hAnsi="Calibri"/>
          <w:b/>
          <w:color w:val="1F4D78"/>
        </w:rPr>
        <w:t xml:space="preserve">[R8] </w:t>
      </w:r>
      <w:r>
        <w:rPr>
          <w:rFonts w:ascii="Calibri" w:hAnsi="Calibri"/>
          <w:sz w:val="19"/>
        </w:rPr>
        <w:t>California Department of Public Health. Frequently Asked Questions: Harmful Algal Blooms and California Fisheries (20 ppm shellfish action level). https://www.cdph.ca.gov/Programs/CEH/DFDCS/CDPH%20Document%20Library/FDB/FoodSafetyProgram/DomoicAcid/AlgalBloomCAFisheriesFAQ.pdf</w:t>
      </w:r>
    </w:p>
    <w:p>
      <w:pPr>
        <w:spacing w:before="0" w:after="120" w:line="264" w:lineRule="auto"/>
      </w:pPr>
      <w:r>
        <w:rPr>
          <w:rFonts w:ascii="Calibri" w:hAnsi="Calibri"/>
          <w:b/>
          <w:color w:val="1F4D78"/>
        </w:rPr>
        <w:t xml:space="preserve">[R9] </w:t>
      </w:r>
      <w:r>
        <w:rPr>
          <w:rFonts w:ascii="Calibri" w:hAnsi="Calibri"/>
          <w:sz w:val="19"/>
        </w:rPr>
        <w:t>Anderson, C. R. et al. (2016). Initial skill assessment of the California Harmful Algae Risk Mapping (C-HARM) system. Harmful Algae 59, 1–18. NOAA repository: https://repository.library.noaa.gov/view/noaa/33076</w:t>
      </w:r>
    </w:p>
    <w:p>
      <w:pPr>
        <w:pStyle w:val="Heading1"/>
        <w:keepNext/>
        <w:pageBreakBefore w:val="0"/>
      </w:pPr>
      <w:r>
        <w:rPr>
          <w:rFonts w:ascii="Calibri" w:hAnsi="Calibri"/>
          <w:b/>
          <w:color w:val="2E74B5"/>
          <w:sz w:val="32"/>
        </w:rPr>
        <w:t>14. Audit conclusion</w:t>
      </w:r>
    </w:p>
    <w:p>
      <w:pPr>
        <w:keepLines w:val="0"/>
        <w:spacing w:before="0" w:after="120" w:line="264" w:lineRule="auto"/>
      </w:pPr>
      <w:r>
        <w:rPr>
          <w:rFonts w:ascii="Calibri" w:hAnsi="Calibri"/>
          <w:b w:val="0"/>
          <w:i w:val="0"/>
          <w:color w:val="000000"/>
          <w:sz w:val="22"/>
        </w:rPr>
        <w:t>The project is moving in the right scientific direction: it has recognized that biomass and toxicity are not the same latent axis, that tissue censoring matters, that seasonality must be propagated, and that naive time-series LOO is optimistic. The immediate task is not another layer of modeling. It is to make the current evidence coherent, reproducible, and falsifiable.</w:t>
      </w:r>
    </w:p>
    <w:p>
      <w:pPr>
        <w:keepLines w:val="0"/>
        <w:spacing w:before="0" w:after="120" w:line="264" w:lineRule="auto"/>
      </w:pPr>
      <w:r>
        <w:rPr>
          <w:rFonts w:ascii="Calibri" w:hAnsi="Calibri"/>
          <w:b/>
          <w:i w:val="0"/>
          <w:color w:val="172B3A"/>
          <w:sz w:val="22"/>
        </w:rPr>
        <w:t>Once one factorial ecological model is rebuilt on a frozen dataset, checked against the observed distributions, and evaluated by real rolling-origin prediction, the project will have a defensible world-model foundation. Only then should C-HARM be calibrated as an observation channel and passed into a specified observe-update-act decision problem. That ordering will turn the strongest current insight—biomass is an incomplete proxy for toxic risk—from an appealing model narrative into a measured, decision-relevant value-of-information result.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jc w:val="left"/>
      <w:tblLook w:firstColumn="1" w:firstRow="1" w:lastColumn="0" w:lastRow="0" w:noHBand="0" w:noVBand="1" w:val="04A0"/>
      <w:tblW w:w="9360" w:type="dxa"/>
      <w:tblInd w:w="0" w:type="dxa"/>
      <w:tblLayout w:type="fixed"/>
    </w:tblPr>
    <w:tblGrid>
      <w:gridCol w:w="6500"/>
      <w:gridCol w:w="2860"/>
    </w:tblGrid>
    <w:tr>
      <w:tc>
        <w:tcPr>
          <w:tcW w:type="dxa" w:w="6500"/>
          <w:tcMar>
            <w:top w:w="80" w:type="dxa"/>
            <w:start w:w="120" w:type="dxa"/>
            <w:bottom w:w="80" w:type="dxa"/>
            <w:end w:w="120" w:type="dxa"/>
          </w:tcMar>
          <w:vAlign w:val="center"/>
        </w:tcPr>
        <w:p>
          <w:r>
            <w:rPr>
              <w:rFonts w:ascii="Calibri" w:hAnsi="Calibri"/>
              <w:color w:val="5B6770"/>
              <w:sz w:val="16"/>
            </w:rPr>
            <w:t>Independent code, statistical, and logic audit  •  22 July 2026</w:t>
          </w:r>
        </w:p>
      </w:tc>
      <w:tc>
        <w:tcPr>
          <w:tcW w:type="dxa" w:w="2860"/>
          <w:tcMar>
            <w:top w:w="80" w:type="dxa"/>
            <w:start w:w="120" w:type="dxa"/>
            <w:bottom w:w="80" w:type="dxa"/>
            <w:end w:w="120" w:type="dxa"/>
          </w:tcMar>
          <w:vAlign w:val="center"/>
        </w:tcPr>
        <w:p>
          <w:pPr>
            <w:jc w:val="right"/>
          </w:pPr>
          <w:r>
            <w:rPr>
              <w:rFonts w:ascii="Calibri" w:hAnsi="Calibri"/>
              <w:color w:val="5B6770"/>
              <w:sz w:val="16"/>
            </w:rPr>
            <w:t xml:space="preserve">Page </w:t>
          </w:r>
          <w:r>
            <w:rPr>
              <w:rFonts w:ascii="Calibri" w:hAnsi="Calibri"/>
              <w:color w:val="5B6770"/>
              <w:sz w:val="16"/>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770"/>
        <w:sz w:val="17"/>
      </w:rPr>
      <w:t>VOI-REMSEN  |  TECHNICAL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10">
    <w:multiLevelType w:val="singleLevel"/>
    <w:lvl w:ilvl="0">
      <w:start w:val="1"/>
      <w:numFmt w:val="bullet"/>
      <w:lvlText w:val="•"/>
      <w:lvlJc w:val="left"/>
      <w:pPr>
        <w:tabs>
          <w:tab w:val="num" w:pos="720"/>
        </w:tabs>
        <w:ind w:left="720" w:hanging="360"/>
      </w:pPr>
      <w:rPr>
        <w:rFonts w:ascii="Symbol" w:hAnsi="Symbol"/>
      </w:rPr>
    </w:lvl>
  </w:abstractNum>
  <w:abstractNum w:abstractNumId="111">
    <w:multiLevelType w:val="singleLevel"/>
    <w:lvl w:ilvl="0">
      <w:start w:val="1"/>
      <w:numFmt w:val="decimal"/>
      <w:lvlText w:val="%1."/>
      <w:lvlJc w:val="left"/>
      <w:pPr>
        <w:tabs>
          <w:tab w:val="num" w:pos="720"/>
        </w:tabs>
        <w:ind w:left="720" w:hanging="360"/>
      </w:pPr>
    </w:lvl>
  </w:abstractNum>
  <w:num w:numId="210">
    <w:abstractNumId w:val="110"/>
  </w:num>
  <w:num w:numId="2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voi-remsen Codebase, Statistical Logic, and Research Readiness Review</dc:title>
  <dc:subject>Independent technical and statistical audit</dc:subject>
  <dc:creator>OpenAI Codex</dc:creator>
  <cp:keywords>HAB, domoic acid, hidden Markov model, CTMC, Bayesian audit, value of information</cp:keywords>
  <dc:description>Prepared from repository snapshot main@005b63e plus uncommitted working tree, 22 July 2026.</dc:description>
  <cp:lastModifiedBy/>
  <cp:revision>1</cp:revision>
  <dcterms:created xsi:type="dcterms:W3CDTF">2013-12-23T23:15:00Z</dcterms:created>
  <dcterms:modified xsi:type="dcterms:W3CDTF">2013-12-23T23:15:00Z</dcterms:modified>
  <cp:category/>
</cp:coreProperties>
</file>