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los seis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D</w:t>
      </w:r>
      <w:r>
        <w:rPr>
          <w:color w:val="000000"/>
        </w:rPr>
        <w:t xml:space="preserve"> </w:t>
      </w:r>
      <w:r>
        <w:rPr>
          <w:color w:val="000000"/>
        </w:rPr>
        <w:t xml:space="preserve">reporta el análisis de sensibilidad del acoplamiento caudal-NDVI con la variable alternativa de caudal máximo mensual.</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dos tablas de detalle (cruce SAR-NDVI-GFD por estación y transiciones JRC) referenciadas desde el cuerpo del informe.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dataset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(baseline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04_fragmentacion.jl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articulo_cgsm_journal.*,</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fragmentacion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tbl-fragmentacion-acotado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definicion estandar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rehabilitacion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tbl-fragmentacion-acotado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26" w:name="Xb49b8a1d06ba2fad23efec932696c776bd44353"/>
    <w:p>
      <w:pPr>
        <w:pStyle w:val="Heading1"/>
      </w:pPr>
      <w:r>
        <w:rPr>
          <w:color w:val="000000"/>
        </w:rPr>
        <w:t xml:space="preserve">Anexo D: Análisis de sensibilidad — caudal máximo vs medio mensual de El Banco</w:t>
      </w:r>
    </w:p>
    <w:p>
      <w:pPr>
        <w:pStyle w:val="FirstParagraph"/>
      </w:pPr>
      <w:r>
        <w:rPr>
          <w:color w:val="000000"/>
        </w:rPr>
        <w:t xml:space="preserve">El cuerpo del informe usa el caudal</w:t>
      </w:r>
      <w:r>
        <w:rPr>
          <w:color w:val="000000"/>
        </w:rPr>
        <w:t xml:space="preserve"> </w:t>
      </w:r>
      <w:r>
        <w:rPr>
          <w:bCs/>
          <w:b/>
          <w:color w:val="000000"/>
        </w:rPr>
        <w:t xml:space="preserve">medio mensual</w:t>
      </w:r>
      <w:r>
        <w:rPr>
          <w:color w:val="000000"/>
        </w:rPr>
        <w:t xml:space="preserve"> </w:t>
      </w:r>
      <w:r>
        <w:rPr>
          <w:color w:val="000000"/>
        </w:rPr>
        <w:t xml:space="preserve">del río Magdalena en El Banco por coherencia con Ganadería Caribe (Aracataca, disponible solo en variable media). El análisis paralelo con la variable alternativa</w:t>
      </w:r>
      <w:r>
        <w:rPr>
          <w:color w:val="000000"/>
        </w:rPr>
        <w:t xml:space="preserve"> </w:t>
      </w:r>
      <w:r>
        <w:rPr>
          <w:bCs/>
          <w:b/>
          <w:color w:val="000000"/>
        </w:rPr>
        <w:t xml:space="preserve">caudal máximo mensual</w:t>
      </w:r>
      <w:r>
        <w:rPr>
          <w:color w:val="000000"/>
        </w:rPr>
        <w:t xml:space="preserve"> </w:t>
      </w:r>
      <w:r>
        <w:rPr>
          <w:color w:val="000000"/>
        </w:rPr>
        <w:t xml:space="preserve">—también disponible en DHIME, 144 obs. 2013–2025— arroja correlaciones positivas universales con NDVI cuyo signo coincide y cuyo pico también se ubica en el rezago de tres meses (manglar</w:t>
      </w:r>
      <w:r>
        <w:rPr>
          <w:color w:val="000000"/>
        </w:rPr>
        <w:t xml:space="preserve"> </w:t>
      </w:r>
      <m:oMath>
        <m:sSub>
          <m:e>
            <m:r>
              <m:t>ρ</m:t>
            </m:r>
          </m:e>
          <m:sub>
            <m:r>
              <m:rPr>
                <m:nor/>
                <m:sty m:val="p"/>
              </m:rPr>
              <m:t>máx</m:t>
            </m:r>
          </m:sub>
        </m:sSub>
        <m:r>
          <m:rPr>
            <m:sty m:val="p"/>
          </m:rPr>
          <m:t>=</m:t>
        </m:r>
        <m:r>
          <m:rPr>
            <m:sty m:val="p"/>
          </m:rPr>
          <m:t>+</m:t>
        </m:r>
        <m:r>
          <m:t>0</m:t>
        </m:r>
        <m:r>
          <m:rPr>
            <m:sty m:val="p"/>
          </m:rPr>
          <m:t>,</m:t>
        </m:r>
        <m:r>
          <m:t>277</m:t>
        </m:r>
      </m:oMath>
      <w:r>
        <w:rPr>
          <w:color w:val="000000"/>
        </w:rPr>
        <w:t xml:space="preserve"> </w:t>
      </w:r>
      <w:r>
        <w:rPr>
          <w:color w:val="000000"/>
        </w:rPr>
        <w:t xml:space="preserve">vs</w:t>
      </w:r>
      <w:r>
        <w:rPr>
          <w:color w:val="000000"/>
        </w:rPr>
        <w:t xml:space="preserve"> </w:t>
      </w:r>
      <m:oMath>
        <m:sSub>
          <m:e>
            <m:r>
              <m:t>ρ</m:t>
            </m:r>
          </m:e>
          <m:sub>
            <m:r>
              <m:rPr>
                <m:nor/>
                <m:sty m:val="p"/>
              </m:rPr>
              <m:t>medio</m:t>
            </m:r>
          </m:sub>
        </m:sSub>
        <m:r>
          <m:rPr>
            <m:sty m:val="p"/>
          </m:rPr>
          <m:t>=</m:t>
        </m:r>
        <m:r>
          <m:rPr>
            <m:sty m:val="p"/>
          </m:rPr>
          <m:t>+</m:t>
        </m:r>
        <m:r>
          <m:t>0</m:t>
        </m:r>
        <m:r>
          <m:rPr>
            <m:sty m:val="p"/>
          </m:rPr>
          <m:t>,</m:t>
        </m:r>
        <m:r>
          <m:t>256</m:t>
        </m:r>
      </m:oMath>
      <w:r>
        <w:rPr>
          <w:color w:val="000000"/>
        </w:rPr>
        <w:t xml:space="preserve">). La diferencia operativa se concentra en los rezagos cortos:</w:t>
      </w:r>
      <w:r>
        <w:rPr>
          <w:color w:val="000000"/>
        </w:rPr>
        <w:t xml:space="preserve"> </w:t>
      </w:r>
      <m:oMath>
        <m:sSub>
          <m:e>
            <m:r>
              <m:t>ρ</m:t>
            </m:r>
          </m:e>
          <m:sub>
            <m:r>
              <m:rPr>
                <m:nor/>
                <m:sty m:val="p"/>
              </m:rPr>
              <m:t>máx</m:t>
            </m:r>
          </m:sub>
        </m:sSub>
      </m:oMath>
      <w:r>
        <w:rPr>
          <w:color w:val="000000"/>
        </w:rPr>
        <w:t xml:space="preserve"> </w:t>
      </w:r>
      <w:r>
        <w:rPr>
          <w:color w:val="000000"/>
        </w:rPr>
        <w:t xml:space="preserve">supera a</w:t>
      </w:r>
      <w:r>
        <w:rPr>
          <w:color w:val="000000"/>
        </w:rPr>
        <w:t xml:space="preserve"> </w:t>
      </w:r>
      <m:oMath>
        <m:sSub>
          <m:e>
            <m:r>
              <m:t>ρ</m:t>
            </m:r>
          </m:e>
          <m:sub>
            <m:r>
              <m:rPr>
                <m:nor/>
                <m:sty m:val="p"/>
              </m:rPr>
              <m:t>medio</m:t>
            </m:r>
          </m:sub>
        </m:sSub>
      </m:oMath>
      <w:r>
        <w:rPr>
          <w:color w:val="000000"/>
        </w:rPr>
        <w:t xml:space="preserve"> </w:t>
      </w:r>
      <w:r>
        <w:rPr>
          <w:color w:val="000000"/>
        </w:rPr>
        <w:t xml:space="preserve">por 0,08–0,12 unidades en lag 0–1, consistente con que los picos extremos del caudal máximo se asocian más rápidamente con cambios espectrales puntuales mientras el caudal medio captura el efecto agregado del régimen sostenido. Las conclusiones científicas del cuerpo del informe son por tanto robustas a la elección de la variable hidrométrica; los datos detallados de ambas series están disponibles en</w:t>
      </w:r>
      <w:r>
        <w:rPr>
          <w:color w:val="000000"/>
        </w:rPr>
        <w:t xml:space="preserve"> </w:t>
      </w:r>
      <w:r>
        <w:rPr>
          <w:rStyle w:val="VerbatimChar"/>
          <w:color w:val="000000"/>
        </w:rPr>
        <w:t xml:space="preserve">outputs/tables/caudal_comparacion_max_medio.csv</w:t>
      </w:r>
      <w:r>
        <w:rPr>
          <w:color w:val="000000"/>
        </w:rPr>
        <w:t xml:space="preserve">.</w:t>
      </w:r>
    </w:p>
    <w:bookmarkEnd w:id="26"/>
    <w:bookmarkStart w:id="41"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w:t>
      </w:r>
    </w:p>
    <w:bookmarkStart w:id="32" w:name="X8010b29c17b57e56e5ad035387045cc0bb30b58"/>
    <w:p>
      <w:pPr>
        <w:pStyle w:val="Heading2"/>
      </w:pPr>
      <w:r>
        <w:rPr>
          <w:color w:val="000000"/>
        </w:rPr>
        <w:t xml:space="preserve">E.1 Datacube multitemporal y series de tiempo</w:t>
      </w:r>
    </w:p>
    <w:bookmarkStart w:id="27"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xarray.open_dataset</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xr.open_dataset(</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7"/>
    <w:bookmarkStart w:id="28"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8"/>
    <w:bookmarkStart w:id="29"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9"/>
    <w:bookmarkStart w:id="30"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30"/>
    <w:bookmarkStart w:id="31"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1"/>
    <w:bookmarkEnd w:id="32"/>
    <w:bookmarkStart w:id="35" w:name="X5564c560101fed8ef34ec75486d574edcd53951"/>
    <w:p>
      <w:pPr>
        <w:pStyle w:val="Heading2"/>
      </w:pPr>
      <w:r>
        <w:rPr>
          <w:color w:val="000000"/>
        </w:rPr>
        <w:t xml:space="preserve">E.2 Reproyección al sistema oficial colombiano y topología DE-9IM</w:t>
      </w:r>
    </w:p>
    <w:bookmarkStart w:id="33"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3"/>
    <w:bookmarkStart w:id="34" w:name="X32380bf0a00da97b05b1c0f73201a606fb69033"/>
    <w:p>
      <w:pPr>
        <w:pStyle w:val="Heading3"/>
      </w:pPr>
      <w:r>
        <w:rPr>
          <w:color w:val="000000"/>
        </w:rPr>
        <w:t xml:space="preserve">E.2.b Segmentación promptable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4"/>
    <w:bookmarkEnd w:id="35"/>
    <w:bookmarkStart w:id="38" w:name="Xbcff38372e88ef926b7df2bfb1aae6dce9089dc"/>
    <w:p>
      <w:pPr>
        <w:pStyle w:val="Heading2"/>
      </w:pPr>
      <w:r>
        <w:rPr>
          <w:color w:val="000000"/>
        </w:rPr>
        <w:t xml:space="preserve">E.3 Forzamiento climático y detección SAR</w:t>
      </w:r>
    </w:p>
    <w:bookmarkStart w:id="36"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xarray.open_dataset(chunks=...)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xr.open_dataset(</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6"/>
    <w:bookmarkStart w:id="37"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el scattering de doble rebote característico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7"/>
    <w:bookmarkEnd w:id="38"/>
    <w:bookmarkStart w:id="40" w:name="X7977fb776ea495598938f87ab7173f02a1201d1"/>
    <w:p>
      <w:pPr>
        <w:pStyle w:val="Heading2"/>
      </w:pPr>
      <w:r>
        <w:rPr>
          <w:color w:val="000000"/>
        </w:rPr>
        <w:t xml:space="preserve">E.4 Métricas de fragmentación del paisaje (Julia)</w:t>
      </w:r>
    </w:p>
    <w:bookmarkStart w:id="39"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perimetro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9"/>
    <w:bookmarkEnd w:id="40"/>
    <w:bookmarkEnd w:id="41"/>
    <w:bookmarkStart w:id="54"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3"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2" w:name="tbl-cruce"/>
          <w:p>
            <w:pPr>
              <w:spacing w:before="0" w:after="0"/>
              <w:jc w:val="center"/>
            </w:pPr>
            <w:pPr>
              <w:jc w:val="start"/>
              <w:spacing w:before="200"/>
              <w:pStyle w:val="ImageCaption"/>
            </w:pPr>
            <w:r>
              <w:rPr>
                <w:b/>
                <w:color w:val="000000"/>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2"/>
          <w:p>
            <w:pPr>
              <w:spacing w:before="0" w:after="0"/>
            </w:pPr>
          </w:p>
        </w:tc>
      </w:tr>
    </w:tbl>
    <w:bookmarkEnd w:id="43"/>
    <w:bookmarkStart w:id="45"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4" w:name="tbl-jrc"/>
          <w:p>
            <w:pPr>
              <w:spacing w:before="0" w:after="0"/>
              <w:jc w:val="center"/>
            </w:pPr>
            <w:pPr>
              <w:jc w:val="start"/>
              <w:spacing w:before="200"/>
              <w:pStyle w:val="ImageCaption"/>
            </w:pPr>
            <w:r>
              <w:rPr>
                <w:b/>
                <w:color w:val="000000"/>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4"/>
          <w:p>
            <w:pPr>
              <w:spacing w:before="0" w:after="0"/>
            </w:pPr>
          </w:p>
        </w:tc>
      </w:tr>
    </w:tbl>
    <w:bookmarkEnd w:id="45"/>
    <w:bookmarkStart w:id="47"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6" w:name="tbl-entorno"/>
          <w:p>
            <w:pPr>
              <w:spacing w:before="0" w:after="0"/>
              <w:jc w:val="center"/>
            </w:pPr>
            <w:pPr>
              <w:jc w:val="start"/>
              <w:spacing w:before="200"/>
              <w:pStyle w:val="ImageCaption"/>
            </w:pPr>
            <w:r>
              <w:rPr>
                <w:b/>
                <w:color w:val="000000"/>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6"/>
          <w:p>
            <w:pPr>
              <w:spacing w:before="0" w:after="0"/>
            </w:pPr>
          </w:p>
        </w:tc>
      </w:tr>
    </w:tbl>
    <w:bookmarkEnd w:id="47"/>
    <w:bookmarkStart w:id="49"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8" w:name="tbl-bfast"/>
          <w:p>
            <w:pPr>
              <w:spacing w:before="0" w:after="0"/>
              <w:jc w:val="center"/>
            </w:pPr>
            <w:pPr>
              <w:jc w:val="start"/>
              <w:spacing w:before="200"/>
              <w:pStyle w:val="ImageCaption"/>
            </w:pPr>
            <w:r>
              <w:rPr>
                <w:b/>
                <w:color w:val="000000"/>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000000"/>
                <w:sz w:val="20"/>
              </w:rPr>
              <w:t xml:space="preserve"> </w:t>
            </w:r>
            <w:r>
              <w:rPr>
                <w:bCs/>
                <w:b/>
                <w:color w:val="000000"/>
                <w:sz w:val="20"/>
              </w:rPr>
              <w:t xml:space="preserve">?@tbl-bfast-unificado</w:t>
            </w:r>
            <w:r>
              <w:rPr>
                <w:b/>
                <w:color w:val="000000"/>
                <w:sz w:val="20"/>
              </w:rPr>
              <w:t xml:space="preserve"> </w:t>
            </w:r>
            <w:r>
              <w:rPr>
                <w:b/>
                <w:color w:val="000000"/>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8"/>
          <w:p>
            <w:pPr>
              <w:spacing w:before="0" w:after="0"/>
            </w:pPr>
          </w:p>
        </w:tc>
      </w:tr>
    </w:tbl>
    <w:bookmarkEnd w:id="49"/>
    <w:bookmarkStart w:id="51"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0" w:name="tbl-topología-acotado"/>
          <w:p>
            <w:pPr>
              <w:spacing w:before="0" w:after="0"/>
              <w:jc w:val="center"/>
            </w:pPr>
            <w:pPr>
              <w:jc w:val="start"/>
              <w:spacing w:before="200"/>
              <w:pStyle w:val="ImageCaption"/>
            </w:pPr>
            <w:r>
              <w:rPr>
                <w:b/>
                <w:color w:val="000000"/>
                <w:sz w:val="20"/>
              </w:rPr>
              <w:t xml:space="preserve">Tabla 5: Parches de manglar truncados por la frontera del AOI acotado (predicado DE-9IM</w:t>
            </w:r>
            <w:r>
              <w:rPr>
                <w:b/>
                <w:color w:val="000000"/>
                <w:sz w:val="20"/>
              </w:rPr>
              <w:t xml:space="preserve"> </w:t>
            </w:r>
            <w:r>
              <w:rPr>
                <w:rStyle w:val="VerbatimChar"/>
                <w:b/>
                <w:color w:val="000000"/>
                <w:sz w:val="20"/>
              </w:rPr>
              <w:t xml:space="preserve">intersects</w:t>
            </w:r>
            <w:r>
              <w:rPr>
                <w:b/>
                <w:color w:val="000000"/>
                <w:sz w:val="20"/>
              </w:rPr>
              <w:t xml:space="preserve"> </w:t>
            </w:r>
            <w:r>
              <w:rPr>
                <w:b/>
                <w:color w:val="000000"/>
                <w:sz w:val="20"/>
              </w:rPr>
              <w:t xml:space="preserve">con tolerancia de 30 m). Los parches se cuentan agregados como features completos en</w:t>
            </w:r>
            <w:r>
              <w:rPr>
                <w:b/>
                <w:color w:val="000000"/>
                <w:sz w:val="20"/>
              </w:rPr>
              <w:t xml:space="preserve"> </w:t>
            </w:r>
            <w:r>
              <w:rPr>
                <w:rStyle w:val="VerbatimChar"/>
                <w:b/>
                <w:color w:val="000000"/>
                <w:sz w:val="20"/>
              </w:rPr>
              <w:t xml:space="preserve">geopandas</w:t>
            </w:r>
            <w:r>
              <w:rPr>
                <w:b/>
                <w:color w:val="000000"/>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50"/>
          <w:p>
            <w:pPr>
              <w:spacing w:before="0" w:after="0"/>
            </w:pPr>
          </w:p>
        </w:tc>
      </w:tr>
    </w:tbl>
    <w:bookmarkEnd w:id="51"/>
    <w:bookmarkStart w:id="53"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2" w:name="tbl-anomalias"/>
          <w:p>
            <w:pPr>
              <w:spacing w:before="0" w:after="0"/>
              <w:jc w:val="center"/>
            </w:pPr>
            <w:pPr>
              <w:jc w:val="start"/>
              <w:spacing w:before="200"/>
              <w:pStyle w:val="ImageCaption"/>
            </w:pPr>
            <w:r>
              <w:rPr>
                <w:b/>
                <w:color w:val="000000"/>
                <w:sz w:val="20"/>
              </w:rPr>
              <w:t xml:space="preserve">Tabla 6: Anomalias significativas de NDVI (</w:t>
            </w:r>
            <m:oMath>
              <m:r>
                <m:t>z</m:t>
              </m:r>
              <m:r>
                <m:rPr>
                  <m:sty m:val="p"/>
                </m:rPr>
                <m:t>&lt;</m:t>
              </m:r>
              <m:r>
                <m:rPr>
                  <m:sty m:val="p"/>
                </m:rPr>
                <m:t>−</m:t>
              </m:r>
              <m:r>
                <m:t>2</m:t>
              </m:r>
            </m:oMath>
            <w:r>
              <w:rPr>
                <w:b/>
                <w:color w:val="000000"/>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2"/>
          <w:p>
            <w:pPr>
              <w:spacing w:before="0" w:after="0"/>
            </w:pPr>
          </w:p>
        </w:tc>
      </w:tr>
    </w:tbl>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2026-05-24T17:47:46Z</dcterms:created>
  <dcterms:modified xsi:type="dcterms:W3CDTF">2026-05-24T17:47:46Z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