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41" w:name="tbl-cruce"/>
          <w:p>
            <w:pPr>
              <w:spacing w:before="0" w:after="0"/>
              <w:jc w:val="center"/>
            </w:pPr>
            <w:pPr>
              <w:jc w:val="start"/>
              <w:spacing w:before="200"/>
              <w:pStyle w:val="ImageCaption"/>
            </w:pPr>
            <w:r>
              <w:rPr>
                <w:b/>
                <w:color w:val="000000"/>
                <w:sz w:val="20"/>
              </w:rPr>
              <w:t xml:space="preserve">Tabla 1: Cruce de señal SAR, NDVI y frecuencia de inundación histórica por estación, restringido al AOI acotado SFF + VPI Salamanca.</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950"/>
              <w:gridCol w:w="950"/>
              <w:gridCol w:w="950"/>
              <w:gridCol w:w="792"/>
              <w:gridCol w:w="950"/>
              <w:gridCol w:w="871"/>
              <w:gridCol w:w="2455"/>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Dentro AOI acotado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SAR diff (dB)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 sept-2020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Eventos GFD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Interpretación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-0,018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Sí</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afectación SAR mayor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oeste del SFF, en zona riberana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sur del SFF, sobre zona de rehabilitación hidráulica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Sí</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43" w:name="tbl-jrc"/>
          <w:p>
            <w:pPr>
              <w:spacing w:before="0" w:after="0"/>
              <w:jc w:val="center"/>
            </w:pPr>
            <w:pPr>
              <w:jc w:val="start"/>
              <w:spacing w:before="200"/>
              <w:pStyle w:val="ImageCaption"/>
            </w:pPr>
            <w:r>
              <w:rPr>
                <w:b/>
                <w:color w:val="000000"/>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3168"/>
              <w:gridCol w:w="1425"/>
              <w:gridCol w:w="3326"/>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Transición JRC dentro del AOI acotado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Interpretación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377,75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Lámina de agua estable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Nuevo 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23,55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Cuerpos nuevos consolidados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 perdido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18,55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Cuerpos de agua secados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17,98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Zonas con régimen estacional estable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Nuevo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Nuevas áreas de inundación estacional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Estacional perdido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29,38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Zonas que dejaron de inundarse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 a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18,54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Retroceso parcial de lámina permanente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Efímero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49,30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Inundación intermitente sin patrón estacional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Efímero 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45" w:name="tbl-entorno"/>
          <w:p>
            <w:pPr>
              <w:spacing w:before="0" w:after="0"/>
              <w:jc w:val="center"/>
            </w:pPr>
            <w:pPr>
              <w:jc w:val="start"/>
              <w:spacing w:before="200"/>
              <w:pStyle w:val="ImageCaption"/>
            </w:pPr>
            <w:r>
              <w:rPr>
                <w:b/>
                <w:color w:val="000000"/>
                <w:sz w:val="20"/>
              </w:rPr>
              <w:t xml:space="preserve">Tabla 3: Entorno de ejecución completo del proyecto.</w:t>
            </w:r>
          </w:p>
          <w:tbl>
            <w:tblPr>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Layout w:type="autofit"/>
            </w:tblPr>
            <w:tblGrid>
              <w:gridCol w:w="3960"/>
              <w:gridCol w:w="3960"/>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Componente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Especificación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Contenedor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Docker sig_unal v1.11 (Ubuntu + RStudio Server)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3.12.3 + geemap, samgeo, leafmap, rasterio, geopandas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4.3.3 + terra, sf, tidyverse, bfast, tmap</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1.11.3 + DataFrames, CSV, GeoJSON, Statistics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Quarto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1.4.550 (informe reproducible)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Control de versiones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Git + GitHub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Geocomputación en la nube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47" w:name="tbl-bfast"/>
          <w:p>
            <w:pPr>
              <w:spacing w:before="0" w:after="0"/>
              <w:jc w:val="center"/>
            </w:pPr>
            <w:pPr>
              <w:jc w:val="start"/>
              <w:spacing w:before="200"/>
              <w:pStyle w:val="ImageCaption"/>
            </w:pPr>
            <w:r>
              <w:rPr>
                <w:b/>
                <w:color w:val="000000"/>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000000"/>
                <w:sz w:val="20"/>
              </w:rPr>
              <w:t xml:space="preserve"> </w:t>
            </w:r>
            <w:r>
              <w:rPr>
                <w:bCs/>
                <w:b/>
                <w:color w:val="000000"/>
                <w:sz w:val="20"/>
              </w:rPr>
              <w:t xml:space="preserve">?@tbl-bfast-unificado</w:t>
            </w:r>
            <w:r>
              <w:rPr>
                <w:b/>
                <w:color w:val="000000"/>
                <w:sz w:val="20"/>
              </w:rPr>
              <w:t xml:space="preserve"> </w:t>
            </w:r>
            <w:r>
              <w:rPr>
                <w:b/>
                <w:color w:val="000000"/>
                <w:sz w:val="20"/>
              </w:rPr>
              <w:t xml:space="preserve">del informe principal.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965"/>
              <w:gridCol w:w="1835"/>
              <w:gridCol w:w="1641"/>
              <w:gridCol w:w="1835"/>
              <w:gridCol w:w="1641"/>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Quiebres (h=0,15)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Fecha principal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Quiebres (h=0,10)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 asociado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2015-06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error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(inicio)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 2018-05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transicion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La Niña + recuperación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 2022-03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49" w:name="tbl-topología-acotado"/>
          <w:p>
            <w:pPr>
              <w:spacing w:before="0" w:after="0"/>
              <w:jc w:val="center"/>
            </w:pPr>
            <w:pPr>
              <w:jc w:val="start"/>
              <w:spacing w:before="200"/>
              <w:pStyle w:val="ImageCaption"/>
            </w:pPr>
            <w:r>
              <w:rPr>
                <w:b/>
                <w:color w:val="000000"/>
                <w:sz w:val="20"/>
              </w:rPr>
              <w:t xml:space="preserve">Tabla 5: Parches de manglar truncados por la frontera del AOI acotado (predicado DE-9IM</w:t>
            </w:r>
            <w:r>
              <w:rPr>
                <w:b/>
                <w:color w:val="000000"/>
                <w:sz w:val="20"/>
              </w:rPr>
              <w:t xml:space="preserve"> </w:t>
            </w:r>
            <w:r>
              <w:rPr>
                <w:rStyle w:val="VerbatimChar"/>
                <w:b/>
                <w:color w:val="000000"/>
                <w:sz w:val="20"/>
              </w:rPr>
              <w:t xml:space="preserve">intersects</w:t>
            </w:r>
            <w:r>
              <w:rPr>
                <w:b/>
                <w:color w:val="000000"/>
                <w:sz w:val="20"/>
              </w:rPr>
              <w:t xml:space="preserve"> </w:t>
            </w:r>
            <w:r>
              <w:rPr>
                <w:b/>
                <w:color w:val="000000"/>
                <w:sz w:val="20"/>
              </w:rPr>
              <w:t xml:space="preserve">con tolerancia de 30 m). Los parches se cuentan agregados como features completos en</w:t>
            </w:r>
            <w:r>
              <w:rPr>
                <w:b/>
                <w:color w:val="000000"/>
                <w:sz w:val="20"/>
              </w:rPr>
              <w:t xml:space="preserve"> </w:t>
            </w:r>
            <w:r>
              <w:rPr>
                <w:rStyle w:val="VerbatimChar"/>
                <w:b/>
                <w:color w:val="000000"/>
                <w:sz w:val="20"/>
              </w:rPr>
              <w:t xml:space="preserve">geopandas</w:t>
            </w:r>
            <w:r>
              <w:rPr>
                <w:b/>
                <w:color w:val="000000"/>
                <w:sz w:val="20"/>
              </w:rPr>
              <w:t xml:space="preserv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048"/>
              <w:gridCol w:w="1048"/>
              <w:gridCol w:w="2096"/>
              <w:gridCol w:w="1397"/>
              <w:gridCol w:w="2329"/>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Periodo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Parches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Parches en 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 en 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en borde (ha)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Degradación (2020-S2)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35,3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5.104,3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Recuperación (2022-S1)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47,1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8.325,7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Actual (2024–2025)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53,3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51" w:name="tbl-anomalias"/>
          <w:p>
            <w:pPr>
              <w:spacing w:before="0" w:after="0"/>
              <w:jc w:val="center"/>
            </w:pPr>
            <w:pPr>
              <w:jc w:val="start"/>
              <w:spacing w:before="200"/>
              <w:pStyle w:val="ImageCaption"/>
            </w:pPr>
            <w:r>
              <w:rPr>
                <w:b/>
                <w:color w:val="000000"/>
                <w:sz w:val="20"/>
              </w:rPr>
              <w:t xml:space="preserve">Tabla 6: Anomalias significativas de NDVI (</w:t>
            </w:r>
            <m:oMath>
              <m:r>
                <m:t>z</m:t>
              </m:r>
              <m:r>
                <m:rPr>
                  <m:sty m:val="p"/>
                </m:rPr>
                <m:t>&lt;</m:t>
              </m:r>
              <m:r>
                <m:rPr>
                  <m:sty m:val="p"/>
                </m:rPr>
                <m:t>−</m:t>
              </m:r>
              <m:r>
                <m:t>2</m:t>
              </m:r>
            </m:oMath>
            <w:r>
              <w:rPr>
                <w:b/>
                <w:color w:val="000000"/>
                <w:sz w:val="20"/>
              </w:rPr>
              <w:t xml:space="preserve">) en la serie combinada 2013–2025, ordenadas por z-score decreciente.</w:t>
            </w:r>
          </w:p>
          <w:tbl>
            <w:tblPr>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Layout w:type="autofit"/>
            </w:tblPr>
            <w:tblGrid>
              <w:gridCol w:w="1584"/>
              <w:gridCol w:w="1584"/>
              <w:gridCol w:w="1584"/>
              <w:gridCol w:w="1584"/>
              <w:gridCol w:w="1584"/>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Fecha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z-score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Sensor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2020-09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-0,018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-3,36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-0,291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Landsat 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2025-03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0,223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2024-09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0,272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2020-09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-2,46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2022-09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53" w:name="tbl-flujo"/>
          <w:p>
            <w:pPr>
              <w:spacing w:before="0" w:after="0"/>
              <w:jc w:val="center"/>
            </w:pPr>
            <w:pPr>
              <w:jc w:val="start"/>
              <w:spacing w:before="200"/>
              <w:pStyle w:val="ImageCaption"/>
            </w:pPr>
            <w:r>
              <w:rPr>
                <w:b/>
                <w:color w:val="000000"/>
                <w:sz w:val="20"/>
              </w:rPr>
              <w:t xml:space="preserve">Tabla 7: Flujo de datos del pipeline multilenguaje.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425"/>
              <w:gridCol w:w="1108"/>
              <w:gridCol w:w="1900"/>
              <w:gridCol w:w="2059"/>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Paso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Herramienta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Lenguaje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Entrada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Salida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 Adquisición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geemap</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 / Landsat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Pilas de índices (.tif)</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Series de tiempo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 + bfast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 / 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Índices + estaciones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Z-scores, periodos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 Segmentación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SamGeo + umbrales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Composites RGB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manglar (.geojson)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 Métricas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DataFrames.jl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vectoriales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Tabla de métricas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4b. Topología DE-9IM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geopandas + shapely</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en EPSG:9377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Tabla parches_topología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 Inundación SAR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Sentinel-1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SAR VH seco vs húmedo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Mapa inundación (.tif)</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 Dashboard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geemap</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Todas las capas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Dashboard (.html)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 Forzamiento ERA5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cdsapi + xarray</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NetCDF ERA5-Land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Anomalías y correlación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 Cubo stars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stars + sf</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TIFs trimestrales S2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por estación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Validación multilingüe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Python + 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RMSE/rho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RF benchmark</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w:t>
                  </w:r>
                  <w:r>
                    <w:rPr>
                      <w:sz w:val="20"/>
                    </w:rPr>
                    <w:t xml:space="preserve"> </w:t>
                  </w:r>
                  <w:r>
                    <w:rPr>
                      <w:rStyle w:val="VerbatimChar"/>
                      <w:sz w:val="20"/>
                    </w:rPr>
                    <w:t xml:space="preserve">smileRandomForest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 + INVEMAR / WorldCover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F1, Recall, Precisión (.csv), importancia de variables (.png)</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 SAR continuo VH</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Sentinel-1 + pandas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Sentinel-1 GRD 2018-2025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 SAR-VH mensual, correlación con NDVI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12. Alertas tempranas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 + matplotlib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NDVI + SAR + bfast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55" w:name="tbl-gfd"/>
          <w:p>
            <w:pPr>
              <w:spacing w:before="0" w:after="0"/>
              <w:jc w:val="center"/>
            </w:pPr>
            <w:pPr>
              <w:jc w:val="start"/>
              <w:spacing w:before="200"/>
              <w:pStyle w:val="ImageCaption"/>
            </w:pPr>
            <w:r>
              <w:rPr>
                <w:b/>
                <w:color w:val="000000"/>
                <w:sz w:val="20"/>
              </w:rPr>
              <w:t xml:space="preserve">Tabla 8: Eventos de inundación con mayor área afectada dentro del AOI acotado (Global Flood Database, 2001-2017).</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376"/>
              <w:gridCol w:w="1742"/>
              <w:gridCol w:w="1742"/>
              <w:gridCol w:w="1267"/>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Inicio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Fin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Días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DFO_2625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2005-02-11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2005-02-26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299,2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DFO_2588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2004-11-20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2004-11-27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274,8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DFO_2761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2005-09-15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2005-12-16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239,4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DFO_1996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2002-07-20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2002-07-31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233,9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DFO_4495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2017-08-04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2017-08-21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221,3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DFO_3212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2007-10-01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2007-12-10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211,5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DFO_3750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2010-11-15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2010-12-20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DFO_3754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2010-11-25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2010-12-20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DFO_3421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2008-12-13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2008-12-14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151,9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DFO_3311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2008-05-27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2008-05-28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57" w:name="tbl-sar-ndvi-corr"/>
          <w:p>
            <w:pPr>
              <w:spacing w:before="0" w:after="0"/>
              <w:jc w:val="center"/>
            </w:pPr>
            <w:pPr>
              <w:jc w:val="start"/>
              <w:spacing w:before="200"/>
              <w:pStyle w:val="ImageCaption"/>
            </w:pPr>
            <w:r>
              <w:rPr>
                <w:b/>
                <w:color w:val="000000"/>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000000"/>
                <w:sz w:val="20"/>
              </w:rPr>
              <w:t xml:space="preserve">) sobre las cuatro estaciones de manglar denso del Complejo de Pajarales.</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425"/>
              <w:gridCol w:w="1029"/>
              <w:gridCol w:w="1029"/>
              <w:gridCol w:w="1029"/>
              <w:gridCol w:w="1029"/>
              <w:gridCol w:w="633"/>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Aguas Negras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+0,807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+0,773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+0,758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+0,731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+0,722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+0,640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+0,380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+0,462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+0,379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+0,434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+0,192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+0,086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+0,043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+0,134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-0,159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-0,102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59" w:name="tbl-cubos"/>
          <w:p>
            <w:pPr>
              <w:spacing w:before="0" w:after="0"/>
              <w:jc w:val="center"/>
            </w:pPr>
            <w:pPr>
              <w:jc w:val="start"/>
              <w:spacing w:before="200"/>
              <w:pStyle w:val="ImageCaption"/>
            </w:pPr>
            <w:r>
              <w:rPr>
                <w:b/>
                <w:color w:val="000000"/>
                <w:sz w:val="20"/>
              </w:rPr>
              <w:t xml:space="preserve">Tabla 10: Datacubes NetCDF CF-1.8 materializados sobre el AOI acotado en EPSG:9377 (MAGNA-SIRGAS Origen Nacional), comprimidos con zlib nivel 4.</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217"/>
              <w:gridCol w:w="1108"/>
              <w:gridCol w:w="1425"/>
              <w:gridCol w:w="1900"/>
              <w:gridCol w:w="792"/>
              <w:gridCol w:w="475"/>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Archivo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Sensor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Frecuencia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Periodo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Bandas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Tamaño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cgsm_datacube_periodos.nc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Tres composites discretos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Degradación (2020 H2), recuperación (2022 H1), actual (2024–2025)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RGB (B4, B3, B2)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40 MB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cgsm_datacube_trimestral.nc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Trimestral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2018-Q1 a 2025-Q4 (31 trimestres)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NDVI, NDWI, 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275 MB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cgsm_datacube_landsat.nc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Landsat 8/9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Anual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2013–2025 (13 años)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NDVI, NDWI, 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61" w:name="tbl-enso-corr"/>
          <w:p>
            <w:pPr>
              <w:spacing w:before="0" w:after="0"/>
              <w:jc w:val="center"/>
            </w:pPr>
            <w:pPr>
              <w:jc w:val="start"/>
              <w:spacing w:before="200"/>
              <w:pStyle w:val="ImageCaption"/>
            </w:pPr>
            <w:r>
              <w:rPr>
                <w:b/>
                <w:color w:val="000000"/>
                <w:sz w:val="20"/>
              </w:rPr>
              <w:t xml:space="preserve">Tabla 11: Correlación de Pearson entre índices ENSO globales (ONI y SOI de NOAA) y NDVI z-score desagregada por naturaleza espectral.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267"/>
              <w:gridCol w:w="1425"/>
              <w:gridCol w:w="1425"/>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ONI</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SOI</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007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198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039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070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201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135</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014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153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63" w:name="tbl-caudal-corr"/>
          <w:p>
            <w:pPr>
              <w:spacing w:before="0" w:after="0"/>
              <w:jc w:val="center"/>
            </w:pPr>
            <w:pPr>
              <w:jc w:val="start"/>
              <w:spacing w:before="200"/>
              <w:pStyle w:val="ImageCaption"/>
            </w:pPr>
            <w:r>
              <w:rPr>
                <w:b/>
                <w:color w:val="000000"/>
                <w:sz w:val="20"/>
              </w:rPr>
              <w:t xml:space="preserve">Tabla 12: Correlación de Pearson entre anomalía de caudal IDEAM y NDVI z-score, desagregada por estación hidrológica, naturaleza espectral y rezago temporal.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692"/>
              <w:gridCol w:w="1742"/>
              <w:gridCol w:w="1267"/>
              <w:gridCol w:w="1425"/>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caudal</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064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039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256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233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043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59</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196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224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150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65" w:name="tbl-chirps-corr"/>
          <w:p>
            <w:pPr>
              <w:spacing w:before="0" w:after="0"/>
              <w:jc w:val="center"/>
            </w:pPr>
            <w:pPr>
              <w:jc w:val="start"/>
              <w:spacing w:before="200"/>
              <w:pStyle w:val="ImageCaption"/>
            </w:pPr>
            <w:r>
              <w:rPr>
                <w:b/>
                <w:color w:val="000000"/>
                <w:sz w:val="20"/>
              </w:rPr>
              <w:t xml:space="preserve">Tabla 13: Correlación de Pearson entre anomalía mensual CHIRPS sobre cuencas aportantes y NDVI z-score de las estaciones de la CGSM.</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217"/>
              <w:gridCol w:w="1742"/>
              <w:gridCol w:w="1425"/>
              <w:gridCol w:w="1742"/>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Cuenca CHIRPS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precip</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075</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170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097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252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276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Sierra Nevada oeste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Sierra Nevada oeste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359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67" w:name="tbl-era5"/>
          <w:p>
            <w:pPr>
              <w:spacing w:before="0" w:after="0"/>
              <w:jc w:val="center"/>
            </w:pPr>
            <w:pPr>
              <w:jc w:val="start"/>
              <w:spacing w:before="200"/>
              <w:pStyle w:val="ImageCaption"/>
            </w:pPr>
            <w:r>
              <w:rPr>
                <w:b/>
                <w:color w:val="000000"/>
                <w:sz w:val="20"/>
              </w:rPr>
              <w:t xml:space="preserve">Tabla 14: Correlación entre anomalías climáticas ERA5-Land (precipitación y temperatura a 2 m) y NDVI z-score, desagregada por naturaleza espectral.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267"/>
              <w:gridCol w:w="1742"/>
              <w:gridCol w:w="1742"/>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precip vs NDVI z</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T2m vs NDVI z</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040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018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173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292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271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201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69</w:t>
                  </w:r>
                </w:p>
              </w:tc>
            </w:tr>
          </w:tbl>
          <w:bookmarkEnd w:id="67"/>
          <w:p>
            <w:pPr>
              <w:spacing w:before="0" w:after="0"/>
            </w:pPr>
          </w:p>
        </w:tc>
      </w:tr>
    </w:tbl>
    <w:bookmarkEnd w:id="68"/>
    <w:bookmarkEnd w:id="69"/>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2026-05-26T01:58:47Z</dcterms:created>
  <dcterms:modified xsi:type="dcterms:W3CDTF">2026-05-26T01:58:47Z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