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GeoAI</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del</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Ciénaga</w:t>
      </w:r>
      <w:r>
        <w:rPr>
          <w:color w:val="000000"/>
        </w:rPr>
        <w:t xml:space="preserve"> </w:t>
      </w:r>
      <w:r>
        <w:rPr>
          <w:color w:val="000000"/>
        </w:rPr>
        <w:t xml:space="preserve">Grande</w:t>
      </w:r>
      <w:r>
        <w:rPr>
          <w:color w:val="000000"/>
        </w:rPr>
        <w:t xml:space="preserve"> </w:t>
      </w:r>
      <w:r>
        <w:rPr>
          <w:color w:val="000000"/>
        </w:rPr>
        <w:t xml:space="preserve">de</w:t>
      </w:r>
      <w:r>
        <w:rPr>
          <w:color w:val="000000"/>
        </w:rPr>
        <w:t xml:space="preserve"> </w:t>
      </w:r>
      <w:r>
        <w:rPr>
          <w:color w:val="000000"/>
        </w:rPr>
        <w:t xml:space="preserve">Santa</w:t>
      </w:r>
      <w:r>
        <w:rPr>
          <w:color w:val="000000"/>
        </w:rPr>
        <w:t xml:space="preserve"> </w:t>
      </w:r>
      <w:r>
        <w:rPr>
          <w:color w:val="000000"/>
        </w:rPr>
        <w:t xml:space="preserve">Marta</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p>
      <w:pPr>
        <w:pStyle w:val="Compact"/>
        <w:jc w:val="center"/>
      </w:pPr>
      <w:r>
        <w:rPr>
          <w:color w:val="00000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 Localización del área de estudio. (a) Colombia con el Magdalena resaltado; (b) departamento del Magdalena con las ciudades de referencia y el AOI acotado en rojo; (c) composite Sentinel-2 RGB del periodo 2024-2025 sobre el AOI acotado (SFF CGSM + VPI, 835 km²), con las cinco estaciones INVEMAR-GBIF (triángulos rojos) y la cobertura de manglar segmentada por SamGeo (verde traslúcido).</w:t>
      </w:r>
    </w:p>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32" w:name="tbl-fuentes"/>
          <w:p>
            <w:pPr>
              <w:jc w:val="center"/>
            </w:pPr>
            <w:pPr>
              <w:jc w:val="start"/>
              <w:spacing w:before="200"/>
              <w:pStyle w:val="ImageCaption"/>
            </w:pPr>
            <w:r>
              <w:rPr>
                <w:color w:val="000000"/>
              </w:rPr>
              <w:t xml:space="preserve">Tabla 1: Fuentes de datos utilizadas en el pipeline para el monitoreo de manglar.</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059"/>
              <w:gridCol w:w="1742"/>
              <w:gridCol w:w="2376"/>
              <w:gridCol w:w="174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Dataset / Fuente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Tipo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Uso en el proyecto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Acceso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 MSI L2A (ESA)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789 imágenes (2018-2025)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Índices espectrales y RGB para SamGeo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S2_SR_ HARMONIZED</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Landsat 8 OLI (USGS)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345 registros (2013-2017)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 histórica NDVI complementaria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LC08/ C02/T1_L2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Sentinel-1 SAR (ESA)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 imágenes (2020)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Detección de inundación bajo dosel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S1_GRD</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Global Flood Database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16 eventos (2001-2017)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Registro histórico de inundaciones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GLOBAL_ FLOOD_DB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JRC Global Surface Water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Raster global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Transiciones y estacionalidad hídrica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JRC/ GSW1_4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SRTM v3 (NASA)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DEM 30 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Restricción de elevación (&lt; 10 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SRTMGL1_003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Monitoreo manglar INVEMAR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376 registros (2013-2019)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Coordenadas estaciones de muestreo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GBIF · 10.15472/ 0fqdp4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Global Mangrove Watch v4.0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Raster (2020)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Validación de clasificación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sat-io/GMW</w:t>
                  </w:r>
                </w:p>
              </w:tc>
            </w:tr>
          </w:tbl>
          <w:bookmarkEnd w:id="32"/>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34" w:name="tbl-lenguajes"/>
          <w:p>
            <w:pPr>
              <w:jc w:val="center"/>
            </w:pPr>
            <w:pPr>
              <w:jc w:val="start"/>
              <w:spacing w:before="200"/>
              <w:pStyle w:val="ImageCaption"/>
            </w:pPr>
            <w:r>
              <w:rPr>
                <w:color w:val="00000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950"/>
              <w:gridCol w:w="2376"/>
              <w:gridCol w:w="1742"/>
              <w:gridCol w:w="2851"/>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Lenguaje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Función técnica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Librerías clave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Notebooks / scripts principales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Adquisición GEE, segmentación SAM, Random Forest, datacubes, dashboard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geemap</w:t>
                  </w:r>
                  <w:r>
                    <w:rPr>
                      <w:sz w:val="20"/>
                    </w:rPr>
                    <w:t xml:space="preserve">,</w:t>
                  </w:r>
                  <w:r>
                    <w:rPr>
                      <w:sz w:val="20"/>
                    </w:rPr>
                    <w:t xml:space="preserve"> </w:t>
                  </w:r>
                  <w:r>
                    <w:rPr>
                      <w:rStyle w:val="VerbatimChar"/>
                      <w:sz w:val="20"/>
                    </w:rPr>
                    <w:t xml:space="preserve">samgeo</w:t>
                  </w:r>
                  <w:r>
                    <w:rPr>
                      <w:sz w:val="20"/>
                    </w:rPr>
                    <w:t xml:space="preserve">,</w:t>
                  </w:r>
                  <w:r>
                    <w:rPr>
                      <w:sz w:val="20"/>
                    </w:rPr>
                    <w:t xml:space="preserve"> </w:t>
                  </w:r>
                  <w:r>
                    <w:rPr>
                      <w:rStyle w:val="VerbatimChar"/>
                      <w:sz w:val="20"/>
                    </w:rPr>
                    <w:t xml:space="preserve">xarray</w:t>
                  </w:r>
                  <w:r>
                    <w:rPr>
                      <w:sz w:val="20"/>
                    </w:rPr>
                    <w:t xml:space="preserve">,</w:t>
                  </w:r>
                  <w:r>
                    <w:rPr>
                      <w:sz w:val="20"/>
                    </w:rPr>
                    <w:t xml:space="preserve"> </w:t>
                  </w:r>
                  <w:r>
                    <w:rPr>
                      <w:rStyle w:val="VerbatimChar"/>
                      <w:sz w:val="20"/>
                    </w:rPr>
                    <w:t xml:space="preserve">rioxarray</w:t>
                  </w:r>
                  <w:r>
                    <w:rPr>
                      <w:sz w:val="20"/>
                    </w:rPr>
                    <w:t xml:space="preserve">,</w:t>
                  </w:r>
                  <w:r>
                    <w:rPr>
                      <w:sz w:val="20"/>
                    </w:rPr>
                    <w:t xml:space="preserve"> </w:t>
                  </w:r>
                  <w:r>
                    <w:rPr>
                      <w:rStyle w:val="VerbatimChar"/>
                      <w:sz w:val="20"/>
                    </w:rPr>
                    <w:t xml:space="preserve">rasterio</w:t>
                  </w:r>
                  <w:r>
                    <w:rPr>
                      <w:sz w:val="20"/>
                    </w:rPr>
                    <w:t xml:space="preserve">,</w:t>
                  </w:r>
                  <w:r>
                    <w:rPr>
                      <w:sz w:val="20"/>
                    </w:rPr>
                    <w:t xml:space="preserve"> </w:t>
                  </w:r>
                  <w:r>
                    <w:rPr>
                      <w:rStyle w:val="VerbatimChar"/>
                      <w:sz w:val="20"/>
                    </w:rPr>
                    <w:t xml:space="preserve">geopandas</w:t>
                  </w:r>
                  <w:r>
                    <w:rPr>
                      <w:sz w:val="20"/>
                    </w:rPr>
                    <w:t xml:space="preserve">,</w:t>
                  </w:r>
                  <w:r>
                    <w:rPr>
                      <w:sz w:val="20"/>
                    </w:rPr>
                    <w:t xml:space="preserve"> </w:t>
                  </w:r>
                  <w:r>
                    <w:rPr>
                      <w:rStyle w:val="VerbatimChar"/>
                      <w:sz w:val="20"/>
                    </w:rPr>
                    <w:t xml:space="preserve">folium</w:t>
                  </w:r>
                  <w:r>
                    <w:rPr>
                      <w:sz w:val="20"/>
                    </w:rPr>
                    <w:t xml:space="preserve">,</w:t>
                  </w:r>
                  <w:r>
                    <w:rPr>
                      <w:sz w:val="20"/>
                    </w:rPr>
                    <w:t xml:space="preserve"> </w:t>
                  </w:r>
                  <w:r>
                    <w:rPr>
                      <w:rStyle w:val="VerbatimChar"/>
                      <w:sz w:val="20"/>
                    </w:rPr>
                    <w:t xml:space="preserve">cdsapi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01_gee_acquisition</w:t>
                  </w:r>
                  <w:r>
                    <w:rPr>
                      <w:sz w:val="20"/>
                    </w:rPr>
                    <w:t xml:space="preserve">,</w:t>
                  </w:r>
                  <w:r>
                    <w:rPr>
                      <w:sz w:val="20"/>
                    </w:rPr>
                    <w:t xml:space="preserve"> </w:t>
                  </w:r>
                  <w:r>
                    <w:rPr>
                      <w:rStyle w:val="VerbatimChar"/>
                      <w:sz w:val="20"/>
                    </w:rPr>
                    <w:t xml:space="preserve">02_time_series</w:t>
                  </w:r>
                  <w:r>
                    <w:rPr>
                      <w:sz w:val="20"/>
                    </w:rPr>
                    <w:t xml:space="preserve">,</w:t>
                  </w:r>
                  <w:r>
                    <w:rPr>
                      <w:sz w:val="20"/>
                    </w:rPr>
                    <w:t xml:space="preserve"> </w:t>
                  </w:r>
                  <w:r>
                    <w:rPr>
                      <w:rStyle w:val="VerbatimChar"/>
                      <w:sz w:val="20"/>
                    </w:rPr>
                    <w:t xml:space="preserve">03_segmentation_acotado</w:t>
                  </w:r>
                  <w:r>
                    <w:rPr>
                      <w:sz w:val="20"/>
                    </w:rPr>
                    <w:t xml:space="preserve">,</w:t>
                  </w:r>
                  <w:r>
                    <w:rPr>
                      <w:sz w:val="20"/>
                    </w:rPr>
                    <w:t xml:space="preserve"> </w:t>
                  </w:r>
                  <w:r>
                    <w:rPr>
                      <w:rStyle w:val="VerbatimChar"/>
                      <w:sz w:val="20"/>
                    </w:rPr>
                    <w:t xml:space="preserve">05_flooding_nasa_acotado</w:t>
                  </w:r>
                  <w:r>
                    <w:rPr>
                      <w:sz w:val="20"/>
                    </w:rPr>
                    <w:t xml:space="preserve">,</w:t>
                  </w:r>
                  <w:r>
                    <w:rPr>
                      <w:sz w:val="20"/>
                    </w:rPr>
                    <w:t xml:space="preserve"> </w:t>
                  </w:r>
                  <w:r>
                    <w:rPr>
                      <w:rStyle w:val="VerbatimChar"/>
                      <w:sz w:val="20"/>
                    </w:rPr>
                    <w:t xml:space="preserve">07_era5_clima</w:t>
                  </w:r>
                  <w:r>
                    <w:rPr>
                      <w:sz w:val="20"/>
                    </w:rPr>
                    <w:t xml:space="preserve">,</w:t>
                  </w:r>
                  <w:r>
                    <w:rPr>
                      <w:sz w:val="20"/>
                    </w:rPr>
                    <w:t xml:space="preserve"> </w:t>
                  </w:r>
                  <w:r>
                    <w:rPr>
                      <w:rStyle w:val="VerbatimChar"/>
                      <w:sz w:val="20"/>
                    </w:rPr>
                    <w:t xml:space="preserve">11_random_forest_benchmark</w:t>
                  </w:r>
                  <w:r>
                    <w:rPr>
                      <w:sz w:val="20"/>
                    </w:rPr>
                    <w:t xml:space="preserve">,</w:t>
                  </w:r>
                  <w:r>
                    <w:rPr>
                      <w:sz w:val="20"/>
                    </w:rPr>
                    <w:t xml:space="preserve"> </w:t>
                  </w:r>
                  <w:r>
                    <w:rPr>
                      <w:rStyle w:val="VerbatimChar"/>
                      <w:sz w:val="20"/>
                    </w:rPr>
                    <w:t xml:space="preserve">12_sentinel1_sar_serie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Detección de quiebres bfast, cubo stars, réplicas estadísticas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bfast</w:t>
                  </w:r>
                  <w:r>
                    <w:rPr>
                      <w:sz w:val="20"/>
                    </w:rPr>
                    <w:t xml:space="preserve">,</w:t>
                  </w:r>
                  <w:r>
                    <w:rPr>
                      <w:sz w:val="20"/>
                    </w:rPr>
                    <w:t xml:space="preserve"> </w:t>
                  </w:r>
                  <w:r>
                    <w:rPr>
                      <w:rStyle w:val="VerbatimChar"/>
                      <w:sz w:val="20"/>
                    </w:rPr>
                    <w:t xml:space="preserve">stars</w:t>
                  </w:r>
                  <w:r>
                    <w:rPr>
                      <w:sz w:val="20"/>
                    </w:rPr>
                    <w:t xml:space="preserve">,</w:t>
                  </w:r>
                  <w:r>
                    <w:rPr>
                      <w:sz w:val="20"/>
                    </w:rPr>
                    <w:t xml:space="preserve"> </w:t>
                  </w:r>
                  <w:r>
                    <w:rPr>
                      <w:rStyle w:val="VerbatimChar"/>
                      <w:sz w:val="20"/>
                    </w:rPr>
                    <w:t xml:space="preserve">sf</w:t>
                  </w:r>
                  <w:r>
                    <w:rPr>
                      <w:sz w:val="20"/>
                    </w:rPr>
                    <w:t xml:space="preserve">,</w:t>
                  </w:r>
                  <w:r>
                    <w:rPr>
                      <w:sz w:val="20"/>
                    </w:rPr>
                    <w:t xml:space="preserve"> </w:t>
                  </w:r>
                  <w:r>
                    <w:rPr>
                      <w:rStyle w:val="VerbatimChar"/>
                      <w:sz w:val="20"/>
                    </w:rPr>
                    <w:t xml:space="preserve">terra</w:t>
                  </w:r>
                  <w:r>
                    <w:rPr>
                      <w:sz w:val="20"/>
                    </w:rPr>
                    <w:t xml:space="preserve">,</w:t>
                  </w:r>
                  <w:r>
                    <w:rPr>
                      <w:sz w:val="20"/>
                    </w:rPr>
                    <w:t xml:space="preserve"> </w:t>
                  </w:r>
                  <w:r>
                    <w:rPr>
                      <w:rStyle w:val="VerbatimChar"/>
                      <w:sz w:val="20"/>
                    </w:rPr>
                    <w:t xml:space="preserve">tidyverse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src/R/03_bfast_ndvi.R</w:t>
                  </w:r>
                  <w:r>
                    <w:rPr>
                      <w:sz w:val="20"/>
                    </w:rPr>
                    <w:t xml:space="preserve">,</w:t>
                  </w:r>
                  <w:r>
                    <w:rPr>
                      <w:sz w:val="20"/>
                    </w:rPr>
                    <w:t xml:space="preserve"> </w:t>
                  </w:r>
                  <w:r>
                    <w:rPr>
                      <w:rStyle w:val="VerbatimChar"/>
                      <w:sz w:val="20"/>
                    </w:rPr>
                    <w:t xml:space="preserve">src/R/05_stars_cubo.R</w:t>
                  </w:r>
                  <w:r>
                    <w:rPr>
                      <w:sz w:val="20"/>
                    </w:rPr>
                    <w:t xml:space="preserve">,</w:t>
                  </w:r>
                  <w:r>
                    <w:rPr>
                      <w:sz w:val="20"/>
                    </w:rPr>
                    <w:t xml:space="preserve"> </w:t>
                  </w:r>
                  <w:r>
                    <w:rPr>
                      <w:rStyle w:val="VerbatimChar"/>
                      <w:sz w:val="20"/>
                    </w:rPr>
                    <w:t xml:space="preserve">notebooks/02b_bfast_ndvi.R</w:t>
                  </w:r>
                  <w:r>
                    <w:rPr>
                      <w:sz w:val="20"/>
                    </w:rPr>
                    <w:t xml:space="preserve">,</w:t>
                  </w:r>
                  <w:r>
                    <w:rPr>
                      <w:sz w:val="20"/>
                    </w:rPr>
                    <w:t xml:space="preserve"> </w:t>
                  </w:r>
                  <w:r>
                    <w:rPr>
                      <w:rStyle w:val="VerbatimChar"/>
                      <w:sz w:val="20"/>
                    </w:rPr>
                    <w:t xml:space="preserve">11b_indices_enso_noaa_R</w:t>
                  </w:r>
                  <w:r>
                    <w:rPr>
                      <w:sz w:val="20"/>
                    </w:rPr>
                    <w:t xml:space="preserve">,</w:t>
                  </w:r>
                  <w:r>
                    <w:rPr>
                      <w:sz w:val="20"/>
                    </w:rPr>
                    <w:t xml:space="preserve"> </w:t>
                  </w:r>
                  <w:r>
                    <w:rPr>
                      <w:rStyle w:val="VerbatimChar"/>
                      <w:sz w:val="20"/>
                    </w:rPr>
                    <w:t xml:space="preserve">12c_caudal_ideam_R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Julia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Métricas de fragmentación, topología DE-9IM (Dimensionally Extended 9-Intersection Model, modelo formal que clasifica relaciones espaciales entre geometrías como intersección, contención o disjunción), cómputo geométrico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GeoJSON.jl</w:t>
                  </w:r>
                  <w:r>
                    <w:rPr>
                      <w:sz w:val="20"/>
                    </w:rPr>
                    <w:t xml:space="preserve">,</w:t>
                  </w:r>
                  <w:r>
                    <w:rPr>
                      <w:sz w:val="20"/>
                    </w:rPr>
                    <w:t xml:space="preserve"> </w:t>
                  </w:r>
                  <w:r>
                    <w:rPr>
                      <w:rStyle w:val="VerbatimChar"/>
                      <w:sz w:val="20"/>
                    </w:rPr>
                    <w:t xml:space="preserve">DataFrames.jl</w:t>
                  </w:r>
                  <w:r>
                    <w:rPr>
                      <w:sz w:val="20"/>
                    </w:rPr>
                    <w:t xml:space="preserve">,</w:t>
                  </w:r>
                  <w:r>
                    <w:rPr>
                      <w:sz w:val="20"/>
                    </w:rPr>
                    <w:t xml:space="preserve"> </w:t>
                  </w:r>
                  <w:r>
                    <w:rPr>
                      <w:rStyle w:val="VerbatimChar"/>
                      <w:sz w:val="20"/>
                    </w:rPr>
                    <w:t xml:space="preserve">LibGEOS.jl</w:t>
                  </w:r>
                  <w:r>
                    <w:rPr>
                      <w:sz w:val="20"/>
                    </w:rPr>
                    <w:t xml:space="preserve">,</w:t>
                  </w:r>
                  <w:r>
                    <w:rPr>
                      <w:sz w:val="20"/>
                    </w:rPr>
                    <w:t xml:space="preserve"> </w:t>
                  </w:r>
                  <w:r>
                    <w:rPr>
                      <w:rStyle w:val="VerbatimChar"/>
                      <w:sz w:val="20"/>
                    </w:rPr>
                    <w:t xml:space="preserve">Statistics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src/julia/04_fragmentacion.jl</w:t>
                  </w:r>
                  <w:r>
                    <w:rPr>
                      <w:sz w:val="20"/>
                    </w:rPr>
                    <w:t xml:space="preserve">,</w:t>
                  </w:r>
                  <w:r>
                    <w:rPr>
                      <w:sz w:val="20"/>
                    </w:rPr>
                    <w:t xml:space="preserve"> </w:t>
                  </w:r>
                  <w:r>
                    <w:rPr>
                      <w:rStyle w:val="VerbatimChar"/>
                      <w:sz w:val="20"/>
                    </w:rPr>
                    <w:t xml:space="preserve">notebooks/04c_topología_julia</w:t>
                  </w:r>
                  <w:r>
                    <w:rPr>
                      <w:sz w:val="20"/>
                    </w:rPr>
                    <w:t xml:space="preserve">,</w:t>
                  </w:r>
                  <w:r>
                    <w:rPr>
                      <w:sz w:val="20"/>
                    </w:rPr>
                    <w:t xml:space="preserve"> </w:t>
                  </w:r>
                  <w:r>
                    <w:rPr>
                      <w:rStyle w:val="VerbatimChar"/>
                      <w:sz w:val="20"/>
                    </w:rPr>
                    <w:t xml:space="preserve">14_validacion_trilingual</w:t>
                  </w:r>
                </w:p>
              </w:tc>
            </w:tr>
          </w:tbl>
          <w:bookmarkEnd w:id="34"/>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p>
      <w:pPr>
        <w:pStyle w:val="Compact"/>
        <w:jc w:val="center"/>
      </w:pPr>
      <w:r>
        <w:rPr>
          <w:color w:val="00000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2: Cambio en la mediana de NDVI entre el estado actual (2024–2025) y el periodo de degradación (2020 H2) sobre el AOI acotado. Azul indica ganancia de vigor (regeneración); rojo indica pérdida. Coordenadas en metros (EPSG:9377, MAGNA-SIRGAS).</w:t>
      </w:r>
    </w:p>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6" w:name="fig-flujo"/>
          <w:p>
            <w:pPr>
              <w:pStyle w:val="Compact"/>
              <w:jc w:val="center"/>
            </w:pPr>
          </w:p>
          <w:p>
            <w:pPr>
              <w:jc w:val="center"/>
            </w:pPr>
            <w:pPr>
              <w:jc w:val="start"/>
              <w:spacing w:before="200"/>
              <w:pStyle w:val="ImageCaption"/>
            </w:pPr>
            <w:r>
              <w:rPr>
                <w:color w:val="00000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p>
      <w:pPr>
        <w:pStyle w:val="Compact"/>
        <w:jc w:val="center"/>
      </w:pPr>
      <w:r>
        <w:rPr>
          <w:color w:val="00000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4: Serie temporal del NDVI mediano del manglar sobre el AOI acotado (835 km²) entre 2018 y 2025, restringida a píxeles con</w:t>
      </w:r>
      <w:r>
        <w:rPr>
          <w:color w:val="000000"/>
        </w:rPr>
        <w:t xml:space="preserve"> </w:t>
      </w:r>
      <m:oMath>
        <m:r>
          <m:t>N</m:t>
        </m:r>
        <m:r>
          <m:t>D</m:t>
        </m:r>
        <m:r>
          <m:t>V</m:t>
        </m:r>
        <m:r>
          <m:t>I</m:t>
        </m:r>
        <m:r>
          <m:rPr>
            <m:sty m:val="p"/>
          </m:rPr>
          <m:t>&gt;</m:t>
        </m:r>
        <m:r>
          <m:t>0</m:t>
        </m:r>
        <m:r>
          <m:rPr>
            <m:sty m:val="p"/>
          </m:rPr>
          <m:t>,</m:t>
        </m:r>
        <m:r>
          <m:t>4</m:t>
        </m:r>
      </m:oMath>
      <w:r>
        <w:rPr>
          <w:color w:val="000000"/>
        </w:rPr>
        <w:t xml:space="preserve">. Las franjas sombreadas marcan los tres periodos de referencia; la caída 2019–2020 coincide con la sequía y La Niña.</w:t>
      </w:r>
    </w:p>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6" w:name="tbl-bfast-unificado"/>
          <w:p>
            <w:pPr>
              <w:jc w:val="center"/>
            </w:pPr>
            <w:pPr>
              <w:jc w:val="start"/>
              <w:spacing w:before="200"/>
              <w:pStyle w:val="ImageCaption"/>
            </w:pPr>
            <w:r>
              <w:rPr>
                <w:color w:val="00000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742"/>
              <w:gridCol w:w="1425"/>
              <w:gridCol w:w="1742"/>
              <w:gridCol w:w="1742"/>
              <w:gridCol w:w="1267"/>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 2020 (La Niña)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 2022 (Recuperación)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 2023–2025 (El Niño 2023–24)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Quiebres totales (h=0,15)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2020-06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2024-06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2020-02, 2020-12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2021-04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2023-08, 2024-05, 2025-02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 (con h=0,10 sube a 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Aguas Negras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2022-04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2023-10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Luna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2022-01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2024-06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r>
          </w:tbl>
          <w:bookmarkEnd w:id="56"/>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9" w:name="tbl-fragmentacion-acotado"/>
          <w:p>
            <w:pPr>
              <w:jc w:val="center"/>
            </w:pPr>
            <w:pPr>
              <w:jc w:val="start"/>
              <w:spacing w:before="200"/>
              <w:pStyle w:val="ImageCaption"/>
            </w:pPr>
            <w:r>
              <w:rPr>
                <w:color w:val="000000"/>
              </w:rPr>
              <w:t xml:space="preserve">Tabla 4: Métricas de fragmentación sobre AOI acotado (SFF CGSM + VPI Salamanca, 835 km2), calculadas en EPSG:9377. Los parches están filtrados al rango 1–5.000 ha y procesados en Julia descomponiendo MultiPolygons.</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819"/>
              <w:gridCol w:w="1547"/>
              <w:gridCol w:w="1547"/>
              <w:gridCol w:w="1547"/>
              <w:gridCol w:w="1001"/>
              <w:gridCol w:w="1456"/>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Periodo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Parches (Julia)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Area total (ha)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Area media (ha)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MSI medio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NND medio (km)</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Degradación (2020-S2)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12.425,6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157,3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Recuperación (2022-S1)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8.650,8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227,7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1,99</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Actual (2024–2025)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4.037,0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269,1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1,46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2,39</w:t>
                  </w:r>
                </w:p>
              </w:tc>
            </w:tr>
          </w:tbl>
          <w:bookmarkEnd w:id="59"/>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regeneración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instantánea</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1" w:name="tbl-clasif-estaciones"/>
          <w:p>
            <w:pPr>
              <w:jc w:val="center"/>
            </w:pPr>
            <w:pPr>
              <w:jc w:val="start"/>
              <w:spacing w:before="200"/>
              <w:pStyle w:val="ImageCaption"/>
            </w:pPr>
            <w:r>
              <w:rPr>
                <w:color w:val="000000"/>
              </w:rPr>
              <w:t xml:space="preserve">Tabla 5: Clasificación de las ocho estaciones de muestreo por naturaleza espectral y distancia al AOI.</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3801"/>
              <w:gridCol w:w="1108"/>
              <w:gridCol w:w="1584"/>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NDVI mediano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Distancia media al AOI</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 Caño Clarín, CP Aguas Negras, CP Luna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1,9 km</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Isla_Boquerón, Punta_Cerro, Punta_Chino, Rio_Sevilla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4,2 km</w:t>
                  </w:r>
                </w:p>
              </w:tc>
            </w:tr>
          </w:tbl>
          <w:bookmarkEnd w:id="61"/>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p>
      <w:pPr>
        <w:pStyle w:val="Compact"/>
        <w:jc w:val="center"/>
      </w:pPr>
      <w:r>
        <w:rPr>
          <w:color w:val="00000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5: Índices ENSO mensuales (ONI y SOI, NOAA CPC) sobre el periodo 2013–2025. Las franjas sombreadas marcan El Niño 2015–2016 y La Niña 2020–2022.</w:t>
      </w:r>
    </w:p>
    <w:p>
      <w:pPr>
        <w:pStyle w:val="BodyText"/>
      </w:pPr>
      <w:r>
        <w:rPr>
          <w:color w:val="000000"/>
        </w:rPr>
        <w:t xml:space="preserve">El detalle por rezago y naturaleza espectral se reporta en el Anexo F.11 del documento complementario.</w:t>
      </w:r>
    </w:p>
    <w:p>
      <w:pPr>
        <w:pStyle w:val="Compact"/>
        <w:jc w:val="center"/>
      </w:pPr>
      <w:r>
        <w:rPr>
          <w:color w:val="00000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6: Correlación entre índices ENSO globales (ONI rojo, SOI azul) y anomalías NDVI z-score, desagregada por naturaleza espectral, rezagos 0–3 meses.</w:t>
      </w:r>
    </w:p>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p>
      <w:pPr>
        <w:pStyle w:val="Compact"/>
        <w:jc w:val="center"/>
      </w:pPr>
      <w:r>
        <w:rPr>
          <w:color w:val="00000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color w:val="000000"/>
        </w:rPr>
        <w:t xml:space="preserve">) ocurren en 2022, no en 2020.</w:t>
      </w:r>
    </w:p>
    <w:p>
      <w:pPr>
        <w:pStyle w:val="BodyText"/>
      </w:pPr>
      <w:r>
        <w:rPr>
          <w:color w:val="000000"/>
        </w:rPr>
        <w:t xml:space="preserve"> </w:t>
      </w:r>
    </w:p>
    <w:p>
      <w:pPr>
        <w:pStyle w:val="Compact"/>
        <w:jc w:val="center"/>
      </w:pPr>
      <w:r>
        <w:rPr>
          <w:color w:val="00000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8: Correlación de Pearson entre anomalía de caudal IDEAM y NDVI z-score por estación hidrológica, naturaleza espectral y rezago 0–3 meses.</w:t>
      </w:r>
    </w:p>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p>
      <w:pPr>
        <w:pStyle w:val="Compact"/>
        <w:jc w:val="center"/>
      </w:pPr>
      <w:r>
        <w:rPr>
          <w:color w:val="00000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9: Anomalías mensuales CHIRPS sobre las dos cuencas aportantes a la CGSM, 2013–2025. Los picos extremos</w:t>
      </w:r>
      <w:r>
        <w:rPr>
          <w:color w:val="000000"/>
        </w:rPr>
        <w:t xml:space="preserve"> </w:t>
      </w:r>
      <m:oMath>
        <m:r>
          <m:t>z</m:t>
        </m:r>
        <m:r>
          <m:rPr>
            <m:sty m:val="p"/>
          </m:rPr>
          <m:t>&gt;</m:t>
        </m:r>
        <m:r>
          <m:rPr>
            <m:sty m:val="p"/>
          </m:rPr>
          <m:t>+</m:t>
        </m:r>
        <m:r>
          <m:t>2</m:t>
        </m:r>
      </m:oMath>
      <w:r>
        <w:rPr>
          <w:color w:val="000000"/>
        </w:rPr>
        <w:t xml:space="preserve"> </w:t>
      </w:r>
      <w:r>
        <w:rPr>
          <w:color w:val="000000"/>
        </w:rPr>
        <w:t xml:space="preserve">se concentran en 2022, en línea con los caudales IDEAM (figura</w:t>
      </w:r>
      <w:r>
        <w:rPr>
          <w:color w:val="000000"/>
        </w:rPr>
        <w:t xml:space="preserve"> </w:t>
      </w:r>
      <w:hyperlink w:anchor="fig-caudal-series">
        <w:r>
          <w:rPr>
            <w:rStyle w:val="Hyperlink"/>
          </w:rPr>
          <w:t xml:space="preserve">figura 7</w:t>
        </w:r>
      </w:hyperlink>
      <w:r>
        <w:rPr>
          <w:color w:val="000000"/>
        </w:rPr>
        <w:t xml:space="preserve">).</w:t>
      </w:r>
    </w:p>
    <w:p>
      <w:pPr>
        <w:pStyle w:val="BodyText"/>
      </w:pPr>
      <w:r>
        <w:rPr>
          <w:color w:val="000000"/>
        </w:rPr>
        <w:t xml:space="preserve"> </w:t>
      </w:r>
    </w:p>
    <w:p>
      <w:pPr>
        <w:pStyle w:val="Compact"/>
        <w:jc w:val="center"/>
      </w:pPr>
      <w:r>
        <w:rPr>
          <w:color w:val="00000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10: Correlación de Pearson entre anomalía mensual CHIRPS y NDVI z-score por cuenca y naturaleza espectral. La convergencia con el caudal IDEAM (figura</w:t>
      </w:r>
      <w:r>
        <w:rPr>
          <w:color w:val="000000"/>
        </w:rPr>
        <w:t xml:space="preserve"> </w:t>
      </w:r>
      <w:hyperlink w:anchor="fig-caudal-correlación">
        <w:r>
          <w:rPr>
            <w:rStyle w:val="Hyperlink"/>
          </w:rPr>
          <w:t xml:space="preserve">figura 8</w:t>
        </w:r>
      </w:hyperlink>
      <w:r>
        <w:rPr>
          <w:color w:val="000000"/>
        </w:rPr>
        <w:t xml:space="preserve">) ofrece doble validación.</w:t>
      </w:r>
    </w:p>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p>
      <w:pPr>
        <w:pStyle w:val="Compact"/>
        <w:jc w:val="center"/>
      </w:pPr>
      <w:r>
        <w:rPr>
          <w:color w:val="00000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93" w:name="tbl-sar"/>
          <w:p>
            <w:pPr>
              <w:jc w:val="center"/>
            </w:pPr>
            <w:pPr>
              <w:jc w:val="start"/>
              <w:spacing w:before="200"/>
              <w:pStyle w:val="ImageCaption"/>
            </w:pPr>
            <w:r>
              <w:rPr>
                <w:color w:val="000000"/>
              </w:rPr>
              <w:t xml:space="preserve">Tabla 6: Extensión de la inundación detectada con Sentinel-1 SAR (septiembre–octubre 2020) sobre el AOI acotado SFF + VPI Salamanca.</w:t>
            </w:r>
          </w:p>
          <w:tbl>
            <w:tblPr>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Layout w:type="autofit"/>
            </w:tblPr>
            <w:tblGrid>
              <w:gridCol w:w="2640"/>
              <w:gridCol w:w="2640"/>
              <w:gridCol w:w="2640"/>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Tipo de inundación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 AOI acotado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Agua abierta (SAR diff &gt; +3 dB)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15,93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1,9 %</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Bajo dosel manglar (SAR diff &lt; −2 dB)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43,08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5,2 %</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Total afectado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59,02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7,1 %</w:t>
                  </w:r>
                </w:p>
              </w:tc>
            </w:tr>
          </w:tbl>
          <w:bookmarkEnd w:id="93"/>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96" w:name="tbl-validación"/>
          <w:p>
            <w:pPr>
              <w:jc w:val="center"/>
            </w:pPr>
            <w:pPr>
              <w:jc w:val="start"/>
              <w:spacing w:before="200"/>
              <w:pStyle w:val="ImageCaption"/>
            </w:pPr>
            <w:r>
              <w:rPr>
                <w:color w:val="00000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742"/>
              <w:gridCol w:w="1742"/>
              <w:gridCol w:w="2217"/>
              <w:gridCol w:w="2217"/>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Métrica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Línea base envolvente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INVEMAR 1:25.000 (vigente)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ESA WorldCover v200 (vigente)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Exactitud global (OA)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0,899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0,788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Precisión (User’s)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0,428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0,768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Recall (Producer’s)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0,457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0,426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F1-score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0,442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0,583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0,548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Especificidad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0,954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0,944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TP / FP / FN / TN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188.097 / 43.777 / 225.733 / 913.309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175.862 / 53.220 / 237.006 / 904.799</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Área referencia 2020-2021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376,5 km² (GMW v3)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297 km² (INVEMAR ∩ AOI)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258 km² (WorldCover ∩ AOI)</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Área clasificación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556,0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147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147 km²</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Resolución de evaluación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 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 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 m</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Umbrales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NDVI &gt; 0,70, elev &lt; 10 m, agua &lt; 3 km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idem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idem</w:t>
                  </w:r>
                </w:p>
              </w:tc>
            </w:tr>
          </w:tbl>
          <w:bookmarkEnd w:id="96"/>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98" w:name="tbl-benchmark-rf"/>
          <w:p>
            <w:pPr>
              <w:jc w:val="center"/>
            </w:pPr>
            <w:pPr>
              <w:jc w:val="start"/>
              <w:spacing w:before="200"/>
              <w:pStyle w:val="ImageCaption"/>
            </w:pPr>
            <w:r>
              <w:rPr>
                <w:color w:val="00000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742"/>
              <w:gridCol w:w="1900"/>
              <w:gridCol w:w="792"/>
              <w:gridCol w:w="950"/>
              <w:gridCol w:w="792"/>
              <w:gridCol w:w="950"/>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Método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Referencia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Precisión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Recall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Especificidad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OA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Umbrales NDVI/CMRI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INVEMAR 1:25.000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0,583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0,954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0,803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Umbrales NDVI/CMRI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ESA WorldCover v200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0,548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0,768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0,944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0,788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Random Forest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INVEMAR 1:25.000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0,745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0,926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0,884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0,895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Random Forest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ESA WorldCover v200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0,889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0,846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0,937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0,926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0,930</w:t>
                  </w:r>
                </w:p>
              </w:tc>
            </w:tr>
          </w:tbl>
          <w:bookmarkEnd w:id="98"/>
          <w:p/>
        </w:tc>
      </w:tr>
    </w:tbl>
    <w:p>
      <w:pPr>
        <w:pStyle w:val="BodyText"/>
      </w:pPr>
      <w:r>
        <w:rPr>
          <w:color w:val="000000"/>
        </w:rPr>
        <w:t xml:space="preserve"> </w:t>
      </w:r>
    </w:p>
    <w:p>
      <w:pPr>
        <w:pStyle w:val="Compact"/>
        <w:jc w:val="center"/>
      </w:pPr>
      <w:r>
        <w:rPr>
          <w:color w:val="00000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p>
      <w:pPr>
        <w:pStyle w:val="Compact"/>
        <w:jc w:val="center"/>
      </w:pPr>
      <w:r>
        <w:rPr>
          <w:color w:val="00000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13: Serie temporal Sentinel-1 SAR-VH (mediana mensual, buffer 500 m) sobre cinco estaciones del manglar de la CGSM, 2018–2025. Puntos coloreados por anomalía z-score (rojo = backscatter alto; azul = bajo, indicativo de inundación o suelo desnudo); franja gris = rango ± 1 σ.</w:t>
      </w:r>
    </w:p>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o</w:t>
      </w:r>
      <w:r>
        <w:rPr>
          <w:color w:val="000000"/>
        </w:rPr>
        <w:t xml:space="preserve"> </w:t>
      </w:r>
      <w:r>
        <w:rPr>
          <w:bCs/>
          <w:b/>
          <w:color w:val="000000"/>
        </w:rPr>
        <w:t xml:space="preserve">crítica</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p>
      <w:pPr>
        <w:pStyle w:val="Compact"/>
        <w:jc w:val="center"/>
      </w:pPr>
      <w:r>
        <w:rPr>
          <w:color w:val="00000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14: Mapa semáforo del estado del manglar de la CGSM por estación, según el módulo de alertas tempranas. Verde = estable, amarillo = alerta, rojo = crítica, según la severidad y persistencia de anomalías NDVI z-score en los últimos doce meses.</w:t>
      </w:r>
    </w:p>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113" w:name="tbl-alertas"/>
          <w:p>
            <w:pPr>
              <w:jc w:val="center"/>
            </w:pPr>
            <w:pPr>
              <w:jc w:val="start"/>
              <w:spacing w:before="200"/>
              <w:pStyle w:val="ImageCaption"/>
            </w:pPr>
            <w:r>
              <w:rPr>
                <w:color w:val="000000"/>
              </w:rPr>
              <w:t xml:space="preserve">Tabla 9: Estado actual del manglar de la CGSM por estación según el módulo de alertas tempranas (corte 2024-12 a 2025-12). El campo</w:t>
            </w:r>
            <w:r>
              <w:rPr>
                <w:color w:val="000000"/>
              </w:rPr>
              <w:t xml:space="preserve"> </w:t>
            </w:r>
            <w:r>
              <w:rPr>
                <w:iCs/>
                <w:i/>
                <w:color w:val="000000"/>
              </w:rPr>
              <w:t xml:space="preserve">z</w:t>
            </w:r>
            <w:r>
              <w:rPr>
                <w:color w:val="000000"/>
              </w:rPr>
              <w:t xml:space="preserve"> </w:t>
            </w:r>
            <w:r>
              <w:rPr>
                <w:color w:val="000000"/>
              </w:rPr>
              <w:t xml:space="preserve">actual corresponde al z-score NDVI del último mes disponible.</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059"/>
              <w:gridCol w:w="1108"/>
              <w:gridCol w:w="792"/>
              <w:gridCol w:w="1108"/>
              <w:gridCol w:w="2851"/>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z</m:t>
                    </m:r>
                  </m:oMath>
                  <w:r>
                    <w:rPr>
                      <w:b/>
                      <w:color w:val="000000"/>
                      <w:sz w:val="20"/>
                    </w:rPr>
                    <w:t xml:space="preserve"> </w:t>
                  </w:r>
                  <w:r>
                    <w:rPr>
                      <w:b/>
                      <w:color w:val="000000"/>
                      <w:sz w:val="20"/>
                    </w:rPr>
                    <w:t xml:space="preserve">actual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NDVI actual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Razón principal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Aguas Negras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estable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+1,63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0,770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anomalías en 12 meses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Luna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estable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0,664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anomalías en 12 meses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estable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0,849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anomalías en 12 meses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estable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+0,81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0,308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anomalías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estable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0,145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anomalías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alerta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0,735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 anomalías 12 m</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alerta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+0,69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0,337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 mín 3 m = −1,38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 alerta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+0,61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 mín 3 m = −1,55; 2 anom.</w:t>
                  </w:r>
                </w:p>
              </w:tc>
            </w:tr>
          </w:tbl>
          <w:bookmarkEnd w:id="113"/>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Borders>
          <w:top w:val="nil"/>
          <w:left w:val="nil"/>
          <w:bottom w:val="nil"/>
          <w:right w:val="nil"/>
          <w:insideH w:val="nil"/>
          <w:insideV w:val="nil"/>
        </w:tblBorders>
      </w:tblPr>
      <w:tr>
        <w:trPr>
          <w:cantSplit/>
        </w:trPr>
        <w:tc>
          <w:tcPr>
            <w:tcMar>
              <w:left w:w="144" w:type="dxa"/>
            </w:tcMar>
            <w:tcBorders>
              <w:top w:val="nil"/>
              <w:left w:val="nil"/>
              <w:bottom w:val="nil"/>
              <w:right w:val="nil"/>
            </w:tcBorders>
          </w:tcPr>
          <w:p>
            <w:pPr>
              <w:pStyle w:val="BodyText"/>
            </w:pPr>
            <w:pPr>
              <w:spacing w:before="16" w:after="64"/>
            </w:pPr>
            <w:r>
              <w:rPr>
                <w:bCs/>
                <w:b/>
                <w:color w:val="000000"/>
              </w:rPr>
              <w:t xml:space="preserve">Material complementario</w:t>
            </w:r>
          </w:p>
          <w:p>
            <w:pPr>
              <w:pStyle w:val="BodyText"/>
            </w:pPr>
            <w:pPr>
              <w:spacing w:before="16" w:after="16"/>
            </w:pPr>
            <w:r>
              <w:rPr>
                <w:color w:val="00000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color w:val="000000"/>
              </w:rPr>
              <w:t xml:space="preserve"> </w:t>
            </w:r>
            <w:r>
              <w:rPr>
                <w:rStyle w:val="VerbatimChar"/>
                <w:bCs/>
                <w:b/>
                <w:color w:val="000000"/>
              </w:rPr>
              <w:t xml:space="preserve">informe_anexos.pdf</w:t>
            </w:r>
            <w:r>
              <w:rPr>
                <w:color w:val="000000"/>
              </w:rPr>
              <w:t xml:space="preserve">, disponible en el repositorio del proyecto en</w:t>
            </w:r>
            <w:r>
              <w:rPr>
                <w:color w:val="000000"/>
              </w:rPr>
              <w:t xml:space="preserve"> </w:t>
            </w:r>
            <w:hyperlink r:id="rId20">
              <w:r>
                <w:rPr>
                  <w:rStyle w:val="Hyperlink"/>
                </w:rPr>
                <w:t xml:space="preserve">https://github.com/linaq11/proyecto-cgsm-curso</w:t>
              </w:r>
            </w:hyperlink>
            <w:r>
              <w:rPr>
                <w:color w:val="000000"/>
              </w:rPr>
              <w:t xml:space="preserve">.</w:t>
            </w:r>
          </w:p>
        </w:tc>
      </w:tr>
    </w:tbl>
    <w:bookmarkEnd w:id="118"/>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GeoAI para el monitoreo del manglar en la Ciénaga Grande de Santa Marta (2013–2025)</dc:title>
  <dc:creator>Lina María Quintero Fonseca</dc:creator>
  <dc:language>es</dc:language>
  <cp:keywords/>
  <dcterms:created xsi:type="dcterms:W3CDTF">2026-05-26T02:25:23Z</dcterms:created>
  <dcterms:modified xsi:type="dcterms:W3CDTF">2026-05-26T02:25:23Z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