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GeoAI</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del</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Ciénaga</w:t>
      </w:r>
      <w:r>
        <w:rPr>
          <w:color w:val="000000"/>
        </w:rPr>
        <w:t xml:space="preserve"> </w:t>
      </w:r>
      <w:r>
        <w:rPr>
          <w:color w:val="000000"/>
        </w:rPr>
        <w:t xml:space="preserve">Grande</w:t>
      </w:r>
      <w:r>
        <w:rPr>
          <w:color w:val="000000"/>
        </w:rPr>
        <w:t xml:space="preserve"> </w:t>
      </w:r>
      <w:r>
        <w:rPr>
          <w:color w:val="000000"/>
        </w:rPr>
        <w:t xml:space="preserve">de</w:t>
      </w:r>
      <w:r>
        <w:rPr>
          <w:color w:val="000000"/>
        </w:rPr>
        <w:t xml:space="preserve"> </w:t>
      </w:r>
      <w:r>
        <w:rPr>
          <w:color w:val="000000"/>
        </w:rPr>
        <w:t xml:space="preserve">Santa</w:t>
      </w:r>
      <w:r>
        <w:rPr>
          <w:color w:val="000000"/>
        </w:rPr>
        <w:t xml:space="preserve"> </w:t>
      </w:r>
      <w:r>
        <w:rPr>
          <w:color w:val="000000"/>
        </w:rPr>
        <w:t xml:space="preserve">Marta</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GeoAI para el monitoreo del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r>
        <w:rPr>
          <w:color w:val="000000"/>
        </w:rPr>
        <w:t xml:space="preserve"/>
      </w:r>
      <w:r>
        <w:rPr>
          <w:rStyle w:val="VerbatimChar"/>
          <w:color w:val="000000"/>
        </w:rPr>
        <w:t xml:space="preserve"/>
      </w:r>
      <w:r>
        <w:rPr>
          <w:color w:val="000000"/>
        </w:rPr>
        <w:t xml:space="preserve"/>
      </w:r>
      <w:r>
        <w:rPr>
          <w:color w:val="000000"/>
        </w:rPr>
        <w:t xml:space="preserve"/>
      </w:r>
      <w:r>
        <w:rPr>
          <w:color w:val="000000"/>
        </w:rPr>
        <w:t xml:space="preserve"/>
      </w:r>
      <w:r>
        <w:rPr>
          <w:rStyle w:val="VerbatimChar"/>
          <w:color w:val="000000"/>
        </w:rPr>
        <w:t xml:space="preserve"/>
      </w:r>
      <w:r>
        <w:rPr>
          <w:color w:val="000000"/>
        </w:rPr>
        <w:t xml:space="preserve"/>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  bajo licencia MIT. La versión anterior del proyecto (línea base marzo 2026 sobre AOI preliminar de 5.073 km²) permanece archivada en  para fines de comparación histórica.</w:t>
      </w:r>
      <w:r>
        <w:rPr>
          <w:color w:val="000000"/>
        </w:rPr>
        <w:t xml:space="preserve"/>
      </w:r>
      <w:hyperlink r:id="rId22">
        <w:r>
          <w:rPr>
            <w:rStyle w:val="Hyperlink"/>
          </w:rPr>
          <w:t xml:space="preserve">https://github.com/linaq11/proyecto-cgsm-curso</w:t>
        </w:r>
      </w:hyperlink>
      <w:r>
        <w:rPr>
          <w:color w:val="000000"/>
        </w:rPr>
        <w:t xml:space="preserve"/>
      </w:r>
      <w:r>
        <w:rPr>
          <w:color w:val="000000"/>
        </w:rPr>
        <w:t xml:space="preserve"/>
      </w:r>
      <w:r>
        <w:rPr>
          <w:color w:val="000000"/>
        </w:rPr>
        <w:t xml:space="preserve"/>
      </w:r>
      <w:hyperlink r:id="rId23">
        <w:r>
          <w:rPr>
            <w:rStyle w:val="Hyperlink"/>
          </w:rPr>
          <w:t xml:space="preserve">https://github.com/LinaQuinteroF/proyecto-cgsm</w:t>
        </w:r>
      </w:hyperlink>
      <w:r>
        <w:rPr>
          <w:color w:val="000000"/>
        </w:rPr>
        <w:t xml:space="preserve"/>
      </w:r>
      <w:r>
        <w:rPr>
          <w:color w:val="000000"/>
        </w:rPr>
        <w:t xml:space="preserve"/>
      </w:r>
    </w:p>
    <w:p>
      <w:pPr>
        <w:pStyle w:val="SourceCode"/>
      </w:pPr>
      <w:r>
        <w:rPr>
          <w:rStyle w:val="VerbatimChar"/>
          <w:color w:val="000000"/>
        </w:rPr>
        <w:t xml:space="preserve">proyecto-cgsm-curso/├── notebooks/        29 notebooks numerados (vigente 01-12 + legacy 03_…14)│                     orden de ejecución: 01 → 02 → 02b → 03_acotado →│                     04_acotado → 04b_acotado → 05_acotado → 07 → 08 →│                     09b → 10 → 11 → 11b → 12 → 12b → 12c → 13 → 14├── src/│   ├── python/       utils.py (9377 + DE-9IM), aoi_acotado.py, build_cubos.py,│   │                 make_dashboard_html.py, alertas_manglar.py, merge_cubo.py│   ├── R/            03_bfast_ndvi.R, 05_stars_cubo.R, 06_bfast_manglar_unificado.R,│   │                 08_correlacion_trilingual.R│   └── julia/        04_fragmentación.jl (4326 legado + 9377 vigente),│                     05_correlacion_trilingual.jl├── data/│   ├── raw/          AOI preliminar y acotado, RUNAP SFF + VPI, INVEMAR GBIF,│   │                 IDEAM El Banco / Ganadería Caribe│   └── processed/│       ├── cubo/     3 datacubes NetCDF CF-1.8 (40 / 275 / 119 MB)│       └── samgeo/   máscaras y GeoJSON por periodo (degradación / recuperación / actual)├── outputs/│   ├── tables/       47 CSV con resultados numéricos│   ├── figures/      35 PNG (mapas, series, correlaciones, validación, alertas)│   └── maps/         dashboard_CGSM_final.html (autocontenido, ~80 KB)└── docs/             informe_final.{qmd,html,pdf}, informe_anexos.{qmd,html,pdf},                      dashboard.html (Pages), outputs/{figures,maps}/ (Pages)</w:t>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r>
        <w:rPr>
          <w:color w:val="000000"/>
        </w:rPr>
        <w:br/>
      </w:r>
      <w:r>
        <w:rPr>
          <w:rStyle w:val="VerbatimChar"/>
          <w:color w:val="000000"/>
        </w:rPr>
        <w:t xml:space="preserve"/>
      </w:r>
    </w:p>
    <w:p>
      <w:pPr>
        <w:pStyle w:val="FirstParagraph"/>
      </w:pPr>
      <w:r>
        <w:rPr>
          <w:color w:val="000000"/>
        </w:rPr>
        <w:t xml:space="preserve">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r>
        <w:rPr>
          <w:color w:val="000000"/>
        </w:rPr>
        <w:t xml:space="preserve"/>
      </w:r>
      <w:r>
        <w:rPr>
          <w:bCs/>
          <w:b/>
          <w:color w:val="000000"/>
        </w:rPr>
        <w:t xml:space="preserve"/>
      </w:r>
      <w:r>
        <w:rPr>
          <w:color w:val="000000"/>
        </w:rPr>
        <w:t xml:space="preserve"/>
      </w:r>
      <w:r>
        <w:rPr>
          <w:color w:val="000000"/>
        </w:rPr>
        <w:t xml:space="preserve"/>
      </w:r>
      <w:r>
        <w:rPr>
          <w:color w:val="000000"/>
        </w:rPr>
        <w:t xml:space="preserve"/>
      </w:r>
      <w:r>
        <w:rPr>
          <w:bCs/>
          <w:b/>
          <w:color w:val="000000"/>
        </w:rPr>
        <w:t xml:space="preserve"/>
      </w:r>
      <w:r>
        <w:rPr>
          <w:color w:val="000000"/>
        </w:rPr>
        <w:t xml:space="preserve"/>
      </w:r>
      <w:r>
        <w:rPr>
          <w:color w:val="000000"/>
        </w:rPr>
        <w:t xml:space="preserve"/>
      </w:r>
      <w:r>
        <w:rPr>
          <w:color w:val="000000"/>
        </w:rPr>
        <w:t xml:space="preserve"/>
      </w:r>
      <w:r>
        <w:rPr>
          <w:rStyle w:val="VerbatimChar"/>
          <w:color w:val="000000"/>
        </w:rPr>
        <w:t xml:space="preserve"/>
      </w:r>
      <w:r>
        <w:rPr>
          <w:color w:val="000000"/>
        </w:rPr>
        <w:t xml:space="preserve"/>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1" w:name="tbl-cruce"/>
          <w:p>
            <w:pPr>
              <w:jc w:val="center"/>
            </w:pPr>
            <w:pPr>
              <w:jc w:val="start"/>
              <w:spacing w:before="200"/>
              <w:pStyle w:val="ImageCaption"/>
            </w:pPr>
            <w:r>
              <w:rPr>
                <w:color w:val="000000"/>
              </w:rPr>
              <w:t xml:space="preserve">Tabla 1: Cruce de señal SAR, NDVI y frecuencia de inundación histórica por estación, restringido al AOI acotado SFF + VPI Salamanca.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50"/>
              <w:gridCol w:w="950"/>
              <w:gridCol w:w="950"/>
              <w:gridCol w:w="792"/>
              <w:gridCol w:w="950"/>
              <w:gridCol w:w="871"/>
              <w:gridCol w:w="245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Dentro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SAR diff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sept-2020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Eventos GFD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oeste del SFF, en zona riberana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sur del SFF, sobre zona de rehabilitación hidráulica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bl>
          <w:bookmarkEnd w:id="41"/>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3" w:name="tbl-jrc"/>
          <w:p>
            <w:pPr>
              <w:jc w:val="center"/>
            </w:pPr>
            <w:pPr>
              <w:jc w:val="start"/>
              <w:spacing w:before="200"/>
              <w:pStyle w:val="ImageCaption"/>
            </w:pPr>
            <w:r>
              <w:rPr>
                <w:color w:val="00000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3168"/>
              <w:gridCol w:w="1425"/>
              <w:gridCol w:w="3326"/>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Transición JRC dentro del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377,75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Lámina de agua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nuevos consolidados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de agua secados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17,98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con régimen estacional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Nuevas áreas de inundación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que dejaron de inundarse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a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Retroceso parcial de lámina permanente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49,30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Inundación intermitente sin patrón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Agua intermitente persistente</w:t>
                  </w:r>
                </w:p>
              </w:tc>
            </w:tr>
          </w:tbl>
          <w:bookmarkEnd w:id="43"/>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5" w:name="tbl-entorno"/>
          <w:p>
            <w:pPr>
              <w:jc w:val="center"/>
            </w:pPr>
            <w:pPr>
              <w:jc w:val="start"/>
              <w:spacing w:before="200"/>
              <w:pStyle w:val="ImageCaption"/>
            </w:pPr>
            <w:r>
              <w:rPr>
                <w:color w:val="000000"/>
              </w:rPr>
              <w:t xml:space="preserve">Tabla 3: Entorno de ejecución completo del proyecto.</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3960"/>
              <w:gridCol w:w="3960"/>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Componente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Especificación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Contenedor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Docker sig_unal v1.11 (Ubuntu + RStudio Server)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3.12.3 + geemap, samgeo, leafmap, rasterio, geopandas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4.3.3 + terra, sf, tidyverse, bfast, tmap</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1.11.3 + DataFrames, CSV, GeoJSON, Statistics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Quarto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1.4.550 (informe reproducible)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Control de versiones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Git + GitHub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Análisis geoespacial en la nube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Google Earth Engine (API Python)</w:t>
                  </w:r>
                </w:p>
              </w:tc>
            </w:tr>
          </w:tbl>
          <w:bookmarkEnd w:id="45"/>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7" w:name="tbl-bfast"/>
          <w:p>
            <w:pPr>
              <w:jc w:val="center"/>
            </w:pPr>
            <w:pPr>
              <w:jc w:val="start"/>
              <w:spacing w:before="200"/>
              <w:pStyle w:val="ImageCaption"/>
            </w:pPr>
            <w:r>
              <w:rPr>
                <w:color w:val="000000"/>
              </w:rPr>
              <w:t xml:space="preserve">Tabla 4: Quiebres estructurales detectados por bfast sobre las ocho estaciones del proyecto en la serie combinada Landsat 8 + Sentinel-2 (2013–2025). El análisis refinado sobre las cuatro estaciones de manglar denso se reporta en la tabla</w:t>
            </w:r>
            <w:r>
              <w:rPr>
                <w:color w:val="000000"/>
              </w:rPr>
              <w:t xml:space="preserve"> </w:t>
            </w:r>
            <w:r>
              <w:rPr>
                <w:bCs/>
                <w:b/>
                <w:color w:val="000000"/>
              </w:rPr>
              <w:t xml:space="preserve">?@tbl-bfast-unificado</w:t>
            </w:r>
            <w:r>
              <w:rPr>
                <w:color w:val="000000"/>
              </w:rPr>
              <w:t xml:space="preserve"> </w:t>
            </w:r>
            <w:r>
              <w:rPr>
                <w:color w:val="000000"/>
              </w:rPr>
              <w:t xml:space="preserve">del informe principal.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65"/>
              <w:gridCol w:w="1835"/>
              <w:gridCol w:w="1641"/>
              <w:gridCol w:w="1835"/>
              <w:gridCol w:w="164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 principal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 asociado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2015-06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error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(inicio)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2018-05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transicion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La Niña + recuperación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2022-03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recuperación</w:t>
                  </w:r>
                </w:p>
              </w:tc>
            </w:tr>
          </w:tbl>
          <w:bookmarkEnd w:id="47"/>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9" w:name="tbl-topología-acotado"/>
          <w:p>
            <w:pPr>
              <w:jc w:val="center"/>
            </w:pPr>
            <w:pPr>
              <w:jc w:val="start"/>
              <w:spacing w:before="200"/>
              <w:pStyle w:val="ImageCaption"/>
            </w:pPr>
            <w:r>
              <w:rPr>
                <w:color w:val="000000"/>
              </w:rPr>
              <w:t xml:space="preserve">Tabla 5: Parches de manglar truncados por la frontera del AOI acotado (predicado DE-9IM</w:t>
            </w:r>
            <w:r>
              <w:rPr>
                <w:color w:val="000000"/>
              </w:rPr>
              <w:t xml:space="preserve"> </w:t>
            </w:r>
            <w:r>
              <w:rPr>
                <w:rStyle w:val="VerbatimChar"/>
                <w:color w:val="000000"/>
              </w:rPr>
              <w:t xml:space="preserve">intersects</w:t>
            </w:r>
            <w:r>
              <w:rPr>
                <w:color w:val="000000"/>
              </w:rPr>
              <w:t xml:space="preserve"> </w:t>
            </w:r>
            <w:r>
              <w:rPr>
                <w:color w:val="000000"/>
              </w:rPr>
              <w:t xml:space="preserve">con tolerancia de 30 m). Los parches se cuentan agregados como features completos en</w:t>
            </w:r>
            <w:r>
              <w:rPr>
                <w:color w:val="000000"/>
              </w:rPr>
              <w:t xml:space="preserve"> </w:t>
            </w:r>
            <w:r>
              <w:rPr>
                <w:rStyle w:val="VerbatimChar"/>
                <w:color w:val="000000"/>
              </w:rPr>
              <w:t xml:space="preserve">geopandas</w:t>
            </w:r>
            <w:r>
              <w:rPr>
                <w:color w:val="000000"/>
              </w:rPr>
              <w:t xml:space="preserv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048"/>
              <w:gridCol w:w="1048"/>
              <w:gridCol w:w="2096"/>
              <w:gridCol w:w="1397"/>
              <w:gridCol w:w="232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en borde (ha)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5.104,3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Recuperación (2022-S1)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47,1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8.325,7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53,3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5.237,9</w:t>
                  </w:r>
                </w:p>
              </w:tc>
            </w:tr>
          </w:tbl>
          <w:bookmarkEnd w:id="49"/>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1" w:name="tbl-anomalias"/>
          <w:p>
            <w:pPr>
              <w:jc w:val="center"/>
            </w:pPr>
            <w:pPr>
              <w:jc w:val="start"/>
              <w:spacing w:before="200"/>
              <w:pStyle w:val="ImageCaption"/>
            </w:pPr>
            <w:r>
              <w:rPr>
                <w:color w:val="000000"/>
              </w:rPr>
              <w:t xml:space="preserve">Tabla 6: Anomalias significativas de NDVI (</w:t>
            </w:r>
            <m:oMath>
              <m:r>
                <m:t>z</m:t>
              </m:r>
              <m:r>
                <m:rPr>
                  <m:sty m:val="p"/>
                </m:rPr>
                <m:t>&lt;</m:t>
              </m:r>
              <m:r>
                <m:rPr>
                  <m:sty m:val="p"/>
                </m:rPr>
                <m:t>−</m:t>
              </m:r>
              <m:r>
                <m:t>2</m:t>
              </m:r>
            </m:oMath>
            <w:r>
              <w:rPr>
                <w:color w:val="000000"/>
              </w:rPr>
              <w:t xml:space="preserve">) en la serie combinada 2013–2025, ordenadas por z-score decreciente.</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1584"/>
              <w:gridCol w:w="1584"/>
              <w:gridCol w:w="1584"/>
              <w:gridCol w:w="1584"/>
              <w:gridCol w:w="1584"/>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z-score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-3,36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-0,291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2025-03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0,272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2022-09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bl>
          <w:bookmarkEnd w:id="51"/>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3" w:name="tbl-flujo"/>
          <w:p>
            <w:pPr>
              <w:jc w:val="center"/>
            </w:pPr>
            <w:pPr>
              <w:jc w:val="start"/>
              <w:spacing w:before="200"/>
              <w:pStyle w:val="ImageCaption"/>
            </w:pPr>
            <w:r>
              <w:rPr>
                <w:color w:val="000000"/>
              </w:rPr>
              <w:t xml:space="preserve">Tabla 7: Flujo de datos del pipeline multilenguaje.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425"/>
              <w:gridCol w:w="1108"/>
              <w:gridCol w:w="1900"/>
              <w:gridCol w:w="205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Paso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Herramienta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Lenguaje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Entrada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Salida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Adquisición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Landsat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Pilas de índices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Series de tiempo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Índices + estaciones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Z-scores, periodos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 Segmentación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SamGeo + umbrales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Composiciones RGB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manglar (.geojson)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 Métricas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DataFrames.jl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vectoriales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de métricas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4b. Topología DE-9IM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geopandas + shapely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en EPSG:9377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parches_topología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 Inundación SAR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SAR VH seco vs húmedo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Mapa inundación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 Dashboard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Todas las capas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Dashboard (.html)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 Forzamiento ERA5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cdsapi + xarray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NetCDF ERA5-Land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Anomalías y correlación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 Cubo stars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stars + sf</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TIFs trimestrales 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por estación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Validación multilingüe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RMSE/rho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RF benchmark</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w:t>
                  </w:r>
                  <w:r>
                    <w:rPr>
                      <w:sz w:val="20"/>
                    </w:rPr>
                    <w:t xml:space="preserve"> </w:t>
                  </w:r>
                  <w:r>
                    <w:rPr>
                      <w:rStyle w:val="VerbatimChar"/>
                      <w:sz w:val="20"/>
                    </w:rPr>
                    <w:t xml:space="preserve">smileRandomForest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INVEMAR / WorldCover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F1, Recall, Precisión (.csv), importancia de variables (.png)</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 SAR continuo VH</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 + 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Sentinel-1 GRD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 SAR-VH mensual, correlación con NDVI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 Alertas tempranas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matplotlib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NDVI + SAR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Semáforo estaciones (.csv) y mapa (.png)</w:t>
                  </w:r>
                </w:p>
              </w:tc>
            </w:tr>
          </w:tbl>
          <w:bookmarkEnd w:id="53"/>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5" w:name="tbl-gfd"/>
          <w:p>
            <w:pPr>
              <w:jc w:val="center"/>
            </w:pPr>
            <w:pPr>
              <w:jc w:val="start"/>
              <w:spacing w:before="200"/>
              <w:pStyle w:val="ImageCaption"/>
            </w:pPr>
            <w:r>
              <w:rPr>
                <w:color w:val="000000"/>
              </w:rPr>
              <w:t xml:space="preserve">Tabla 8: Eventos de inundación con mayor área afectada dentro del AOI acotado (Global Flood Database, 2001-2017).</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376"/>
              <w:gridCol w:w="1742"/>
              <w:gridCol w:w="1742"/>
              <w:gridCol w:w="1267"/>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Inicio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Fin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DFO_2625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DFO_2588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274,8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DFO_2761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2005-09-15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2005-12-16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239,4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DFO_1996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233,9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DFO_4495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DFO_3212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2007-10-01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2007-12-10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DFO_3421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DFO_3311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bl>
          <w:bookmarkEnd w:id="55"/>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7" w:name="tbl-sar-ndvi-corr"/>
          <w:p>
            <w:pPr>
              <w:jc w:val="center"/>
            </w:pPr>
            <w:pPr>
              <w:jc w:val="start"/>
              <w:spacing w:before="200"/>
              <w:pStyle w:val="ImageCaption"/>
            </w:pPr>
            <w:r>
              <w:rPr>
                <w:color w:val="00000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color w:val="000000"/>
              </w:rPr>
              <w:t xml:space="preserve">) sobre las cuatro estaciones de manglar denso del Complejo de Pajarales.</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425"/>
              <w:gridCol w:w="1029"/>
              <w:gridCol w:w="1029"/>
              <w:gridCol w:w="1029"/>
              <w:gridCol w:w="1029"/>
              <w:gridCol w:w="633"/>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+0,807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+0,773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+0,722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+0,640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+0,380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+0,462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+0,379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+0,086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+0,043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bl>
          <w:bookmarkEnd w:id="57"/>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9" w:name="tbl-cubos"/>
          <w:p>
            <w:pPr>
              <w:jc w:val="center"/>
            </w:pPr>
            <w:pPr>
              <w:jc w:val="start"/>
              <w:spacing w:before="200"/>
              <w:pStyle w:val="ImageCaption"/>
            </w:pPr>
            <w:r>
              <w:rPr>
                <w:color w:val="000000"/>
              </w:rPr>
              <w:t xml:space="preserve">Tabla 10: Datacubes NetCDF CF-1.8 materializados sobre el AOI acotado en EPSG:9377 (MAGNA-SIRGAS Origen Nacional), comprimidos con zlib nivel 4.</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108"/>
              <w:gridCol w:w="1425"/>
              <w:gridCol w:w="1900"/>
              <w:gridCol w:w="792"/>
              <w:gridCol w:w="47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Archivo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Frecuencia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Bandas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Tamaño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cgsm_datacube_periodos.nc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Tres composiciones discretas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 H2), recuperación (2022 H1), 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RGB (B4, B3, B2)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40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cgsm_datacube_trimestral.nc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Trimestral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2018-Q1 a 2025-Q4 (31 trimestres)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275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cgsm_datacube_landsat.nc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2013–2025 (13 años)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119 MB</w:t>
                  </w:r>
                </w:p>
              </w:tc>
            </w:tr>
          </w:tbl>
          <w:bookmarkEnd w:id="59"/>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1" w:name="tbl-enso-corr"/>
          <w:p>
            <w:pPr>
              <w:jc w:val="center"/>
            </w:pPr>
            <w:pPr>
              <w:jc w:val="start"/>
              <w:spacing w:before="200"/>
              <w:pStyle w:val="ImageCaption"/>
            </w:pPr>
            <w:r>
              <w:rPr>
                <w:color w:val="000000"/>
              </w:rPr>
              <w:t xml:space="preserve">Tabla 11: Correlación de Pearson entre índices ENSO globales (ONI y SOI de NOAA)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425"/>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ONI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SOI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135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1"/>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3" w:name="tbl-caudal-corr"/>
          <w:p>
            <w:pPr>
              <w:jc w:val="center"/>
            </w:pPr>
            <w:pPr>
              <w:jc w:val="start"/>
              <w:spacing w:before="200"/>
              <w:pStyle w:val="ImageCaption"/>
            </w:pPr>
            <w:r>
              <w:rPr>
                <w:color w:val="000000"/>
              </w:rPr>
              <w:t xml:space="preserve">Tabla 12: Correlación de Pearson entre anomalía de caudal IDEAM y NDVI z-score, desagregada por estación hidrológica, naturaleza espectral y rezago temporal.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692"/>
              <w:gridCol w:w="1742"/>
              <w:gridCol w:w="1267"/>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caudal</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064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233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224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55</w:t>
                  </w:r>
                </w:p>
              </w:tc>
            </w:tr>
          </w:tbl>
          <w:bookmarkEnd w:id="63"/>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5" w:name="tbl-chirps-corr"/>
          <w:p>
            <w:pPr>
              <w:jc w:val="center"/>
            </w:pPr>
            <w:pPr>
              <w:jc w:val="start"/>
              <w:spacing w:before="200"/>
              <w:pStyle w:val="ImageCaption"/>
            </w:pPr>
            <w:r>
              <w:rPr>
                <w:color w:val="000000"/>
              </w:rPr>
              <w:t xml:space="preserve">Tabla 13: Correlación de Pearson entre anomalía mensual CHIRPS sobre cuencas aportantes y NDVI z-score de las estaciones de la CGSM.</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742"/>
              <w:gridCol w:w="1425"/>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Cuenca CHIRPS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precip</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097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359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bl>
          <w:bookmarkEnd w:id="65"/>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7" w:name="tbl-era5"/>
          <w:p>
            <w:pPr>
              <w:jc w:val="center"/>
            </w:pPr>
            <w:pPr>
              <w:jc w:val="start"/>
              <w:spacing w:before="200"/>
              <w:pStyle w:val="ImageCaption"/>
            </w:pPr>
            <w:r>
              <w:rPr>
                <w:color w:val="000000"/>
              </w:rPr>
              <w:t xml:space="preserve">Tabla 14: Correlación entre anomalías climáticas ERA5-Land (precipitación y temperatura a 2 m)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742"/>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precip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T2m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292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7"/>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 Pipeline multilenguaje GeoAI para el monitoreo del manglar en la Ciénaga Grande de Santa Marta (2013–2025)</dc:title>
  <dc:creator>Lina María Quintero Fonseca</dc:creator>
  <dc:language>es</dc:language>
  <cp:keywords/>
  <dcterms:created xsi:type="dcterms:W3CDTF">2026-05-26T02:25:56Z</dcterms:created>
  <dcterms:modified xsi:type="dcterms:W3CDTF">2026-05-26T02:25:56Z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