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88.png" ContentType="image/png"/>
  <Override PartName="/word/media/rId92.png" ContentType="image/png"/>
  <Override PartName="/word/media/rId97.png" ContentType="image/png"/>
  <Override PartName="/word/media/rId101.png" ContentType="image/png"/>
  <Override PartName="/word/media/rId78.png" ContentType="image/png"/>
  <Override PartName="/word/media/rId83.png" ContentType="image/png"/>
  <Override PartName="/word/media/rId52.png" ContentType="image/png"/>
  <Override PartName="/word/media/rId30.png" ContentType="image/png"/>
  <Override PartName="/word/media/rId40.png" ContentType="image/png"/>
  <Override PartName="/word/media/rId62.png" ContentType="image/png"/>
  <Override PartName="/word/media/rId121.png" ContentType="image/png"/>
  <Override PartName="/word/media/rId12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Pipeline</w:t>
      </w:r>
      <w:r>
        <w:t xml:space="preserve"> </w:t>
      </w:r>
      <w:r>
        <w:t xml:space="preserve">multilenguaje</w:t>
      </w:r>
      <w:r>
        <w:t xml:space="preserve"> </w:t>
      </w:r>
      <w:r>
        <w:t xml:space="preserve">(Python,</w:t>
      </w:r>
      <w:r>
        <w:t xml:space="preserve"> </w:t>
      </w:r>
      <w:r>
        <w:t xml:space="preserve">R,</w:t>
      </w:r>
      <w:r>
        <w:t xml:space="preserve"> </w:t>
      </w:r>
      <w:r>
        <w:t xml:space="preserve">Julia)</w:t>
      </w:r>
      <w:r>
        <w:t xml:space="preserve"> </w:t>
      </w:r>
      <w:r>
        <w:t xml:space="preserve">para</w:t>
      </w:r>
      <w:r>
        <w:t xml:space="preserve"> </w:t>
      </w:r>
      <w:r>
        <w:t xml:space="preserve">el</w:t>
      </w:r>
      <w:r>
        <w:t xml:space="preserve"> </w:t>
      </w:r>
      <w:r>
        <w:t xml:space="preserve">monitoreo</w:t>
      </w:r>
      <w:r>
        <w:t xml:space="preserve"> </w:t>
      </w:r>
      <w:r>
        <w:t xml:space="preserve">de</w:t>
      </w:r>
      <w:r>
        <w:t xml:space="preserve"> </w:t>
      </w:r>
      <w:r>
        <w:t xml:space="preserve">manglar</w:t>
      </w:r>
      <w:r>
        <w:t xml:space="preserve"> </w:t>
      </w:r>
      <w:r>
        <w:t xml:space="preserve">en</w:t>
      </w:r>
      <w:r>
        <w:t xml:space="preserve"> </w:t>
      </w:r>
      <w:r>
        <w:t xml:space="preserve">la</w:t>
      </w:r>
      <w:r>
        <w:t xml:space="preserve"> </w:t>
      </w:r>
      <w:r>
        <w:t xml:space="preserve">CGSM</w:t>
      </w:r>
      <w:r>
        <w:t xml:space="preserve"> </w:t>
      </w:r>
      <w:r>
        <w:t xml:space="preserve">(2013–2025)</w:t>
      </w:r>
    </w:p>
    <w:p>
      <w:pPr>
        <w:pStyle w:val="Author"/>
      </w:pPr>
      <w:r>
        <w:t xml:space="preserve">Lina</w:t>
      </w:r>
      <w:r>
        <w:t xml:space="preserve"> </w:t>
      </w:r>
      <w:r>
        <w:t xml:space="preserve">María</w:t>
      </w:r>
      <w:r>
        <w:t xml:space="preserve"> </w:t>
      </w:r>
      <w:r>
        <w:t xml:space="preserve">Quintero</w:t>
      </w:r>
      <w:r>
        <w:t xml:space="preserve"> </w:t>
      </w:r>
      <w:r>
        <w:t xml:space="preserve">Fonseca</w:t>
      </w:r>
    </w:p>
    <w:p>
      <w:pPr>
        <w:pStyle w:val="Date"/>
      </w:pPr>
      <w:r>
        <w:t xml:space="preserve">2026-05-25</w:t>
      </w:r>
    </w:p>
    <w:p>
      <w:pPr>
        <w:pStyle w:val="FirstParagraph"/>
      </w:pPr>
      <w:r>
        <w:t xml:space="preserve">Universidad Nacional de Colombia</w:t>
      </w:r>
      <w:r>
        <w:br/>
      </w:r>
      <w:r>
        <w:t xml:space="preserve">Facultad de Ciencias Agrarias — Maestría en Geomática</w:t>
      </w:r>
      <w:r>
        <w:br/>
      </w:r>
      <w:r>
        <w:t xml:space="preserve">Programación en SIG — Proyecto Final</w:t>
      </w:r>
      <w:r>
        <w:br/>
      </w:r>
      <w:r>
        <w:t xml:space="preserve">Repositorio:</w:t>
      </w:r>
      <w:r>
        <w:t xml:space="preserve"> </w:t>
      </w:r>
      <w:hyperlink r:id="rId20">
        <w:r>
          <w:rPr>
            <w:rStyle w:val="Hyperlink"/>
          </w:rPr>
          <w:t xml:space="preserve">https://github.com/linaq11/proyecto-cgsm-curso</w:t>
        </w:r>
      </w:hyperlink>
    </w:p>
    <w:p>
      <w:r>
        <w:pict>
          <v:rect style="width:0;height:1.5pt" o:hralign="center" o:hrstd="t" o:hr="t"/>
        </w:pict>
      </w:r>
    </w:p>
    <w:bookmarkStart w:id="21" w:name="introducción-y-justificación"/>
    <w:p>
      <w:pPr>
        <w:pStyle w:val="Heading1"/>
      </w:pPr>
      <w:r>
        <w:t xml:space="preserve">1. Introducción y Justificación</w:t>
      </w:r>
    </w:p>
    <w:p>
      <w:pPr>
        <w:pStyle w:val="FirstParagraph"/>
      </w:pPr>
      <w: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ciclica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promovio una recuperación parcial, la dinámica del ecosistema continúa siendo inestable y los ciclos de degradación y recuperación no están completamente caracterizados a alta resolución espaciotemporal (INVEMAR, 2024).</w:t>
      </w:r>
    </w:p>
    <w:p>
      <w:pPr>
        <w:pStyle w:val="BodyText"/>
      </w:pPr>
      <w: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públicados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de fundación como el Segment Anything Model —SAM— de Meta AI, adaptado para datos geoespaciales a través de SamGeo (Wu y Osco, 2023), que permite realizar segmentación promptable de imágenes satelitales sin necesidad de grandes conjuntos de datos etiquetados.</w:t>
      </w:r>
    </w:p>
    <w:p>
      <w:pPr>
        <w:pStyle w:val="BodyText"/>
      </w:pPr>
      <w: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gestion de riesgos de inundación y la formulacion de política pública ambiental; en febrero de 2026 se firmo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t xml:space="preserve">A partir de lo anterior, el presente estudio se articula en torno a la siguiente pregunta de investigación:</w:t>
      </w:r>
      <w:r>
        <w:t xml:space="preserve"> </w:t>
      </w:r>
      <w:r>
        <w:rPr>
          <w:bCs/>
          <w:b/>
        </w:rPr>
        <w:t xml:space="preserve">¿cómo ha variado la cobertura, la fragmentación y el vigor del manglar de la Ciénaga Grande de Santa Marta entre 2013 y 2025, y qué evidencia cuantitativa permite atribuir las perturbaciones detectadas a forzantes climáticos asociados al evento La Niña 2020–2021?</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after="16"/>
            </w:pPr>
            <w:r>
              <w:rPr>
                <w:bCs/>
                <w:b/>
              </w:rPr>
              <w:t xml:space="preserve">Propósito del estudio.</w:t>
            </w:r>
            <w:r>
              <w:t xml:space="preserve"> </w:t>
            </w:r>
            <w:r>
              <w:t xml:space="preserve">El propósito del presente estudio cuantitativo es caracterizar la dinámica espaciotemporal del manglar de la Ciénaga Grande de Santa Marta entre 2013 y 2025 mediante el análisis cruzado de series temporales de NDVI —variable dependiente— y un conjunto de forzantes climático-hidrológicos —ENSO, caudal del río Magdalena y precipitación CHIRPS, variables independientes— sobre ocho estaciones de monitoreo (cinco INVEMAR-GBIF + tres complementarias) del sitio Ramsar Santuario de Fauna y Flora CGSM y la Vía Parque Isla de Salamanca. La unidad de análisis es la estación de muestreo; el marco teórico de referencia integra teledetección óptica y radar, ecología del paisaje y análisis de series temporales aplicado a humedales costeros tropicales.</w:t>
            </w:r>
          </w:p>
        </w:tc>
      </w:tr>
    </w:tbl>
    <w:bookmarkEnd w:id="21"/>
    <w:bookmarkStart w:id="22" w:name="estado-del-arte"/>
    <w:p>
      <w:pPr>
        <w:pStyle w:val="Heading1"/>
      </w:pPr>
      <w:r>
        <w:t xml:space="preserve">2. Estado del Arte</w:t>
      </w:r>
    </w:p>
    <w:p>
      <w:pPr>
        <w:pStyle w:val="FirstParagraph"/>
      </w:pPr>
      <w: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que alcanza precisión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t xml:space="preserve">La aparición de modelos de fundación como el Segment Anything Model de Meta AI (Kirillov et al., 2023), adaptado a datos geoespaciales a través de SamGeo (Wu y Osco, 2023), permite realizar segmentación promptable sin grandes conjuntos de datos etiquetados, mediante prompts geométricos o text prompts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2"/>
    <w:bookmarkStart w:id="25" w:name="objetivos"/>
    <w:p>
      <w:pPr>
        <w:pStyle w:val="Heading1"/>
      </w:pPr>
      <w:r>
        <w:t xml:space="preserve">3. Objetivos</w:t>
      </w:r>
    </w:p>
    <w:bookmarkStart w:id="23" w:name="objetivo-general"/>
    <w:p>
      <w:pPr>
        <w:pStyle w:val="Heading2"/>
      </w:pPr>
      <w:r>
        <w:t xml:space="preserve">3.1 Objetivo general</w:t>
      </w:r>
    </w:p>
    <w:p>
      <w:pPr>
        <w:pStyle w:val="FirstParagraph"/>
      </w:pPr>
      <w:r>
        <w:t xml:space="preserve">Desarrollar un pipeline GeoAI multilenguaje para el monitoreo de la dinámica espaciotemporal de la cobertura de manglar en la Ciénaga Grande de Santa Marta (2013–2025).</w:t>
      </w:r>
    </w:p>
    <w:bookmarkEnd w:id="23"/>
    <w:bookmarkStart w:id="24" w:name="objetivos-específicos"/>
    <w:p>
      <w:pPr>
        <w:pStyle w:val="Heading2"/>
      </w:pPr>
      <w:r>
        <w:t xml:space="preserve">3.2 Objetivos específicos</w:t>
      </w:r>
    </w:p>
    <w:p>
      <w:pPr>
        <w:numPr>
          <w:ilvl w:val="0"/>
          <w:numId w:val="1001"/>
        </w:numPr>
        <w:pStyle w:val="Compact"/>
      </w:pPr>
      <w:r>
        <w:t xml:space="preserve">Construir un datacube multitemporal de índices espectrales (NDVI, NDWI, CMRI) para la CGSM en el periodo 2013–2025.</w:t>
      </w:r>
    </w:p>
    <w:p>
      <w:pPr>
        <w:numPr>
          <w:ilvl w:val="0"/>
          <w:numId w:val="1001"/>
        </w:numPr>
        <w:pStyle w:val="Compact"/>
      </w:pPr>
      <w:r>
        <w:t xml:space="preserve">Identificar los periodos de degradación y recuperación del manglar entre 2013 y 2025 mediante análisis de anomalías z-score y quiebres bfast.</w:t>
      </w:r>
    </w:p>
    <w:p>
      <w:pPr>
        <w:numPr>
          <w:ilvl w:val="0"/>
          <w:numId w:val="1001"/>
        </w:numPr>
        <w:pStyle w:val="Compact"/>
      </w:pPr>
      <w:r>
        <w:t xml:space="preserve">Validar la segmentación automática de cobertura de manglar contra cartografía de referencia (INVEMAR 1:25.000 y ESA WorldCover v200).</w:t>
      </w:r>
    </w:p>
    <w:bookmarkEnd w:id="24"/>
    <w:bookmarkEnd w:id="25"/>
    <w:bookmarkStart w:id="29" w:name="alcance-delimitaciones-y-limitaciones"/>
    <w:p>
      <w:pPr>
        <w:pStyle w:val="Heading1"/>
      </w:pPr>
      <w:r>
        <w:t xml:space="preserve">4. Alcance, delimitaciones y limitaciones</w:t>
      </w:r>
    </w:p>
    <w:bookmarkStart w:id="26" w:name="alcance"/>
    <w:p>
      <w:pPr>
        <w:pStyle w:val="Heading2"/>
      </w:pPr>
      <w:r>
        <w:t xml:space="preserve">4.1 Alcance</w:t>
      </w:r>
    </w:p>
    <w:p>
      <w:pPr>
        <w:pStyle w:val="FirstParagraph"/>
      </w:pPr>
      <w:r>
        <w:t xml:space="preserve">El presente estudio abarca el diseño, la implementación, la validación y la documentación de un pipeline de procesamiento geoespacial multilenguaje para el monitoreo del manglar de la Ciénaga Grande de Santa Marta, articulado sobre tres dimensiones explícitas. En lo</w:t>
      </w:r>
      <w:r>
        <w:t xml:space="preserve"> </w:t>
      </w:r>
      <w:r>
        <w:rPr>
          <w:bCs/>
          <w:b/>
        </w:rPr>
        <w:t xml:space="preserve">espacial</w:t>
      </w:r>
      <w:r>
        <w:t xml:space="preserve">, el análisis se circunscribe al sitio Ramsar oficial conformado por la unión de los polígonos del Santuario de Fauna y Flora CGSM y la Vía Parque Isla de Salamanca, extraídos del Registro Único Nacional de Áreas Protegidas (RUNAP), con una extensión total de 835,3 km². En lo</w:t>
      </w:r>
      <w:r>
        <w:t xml:space="preserve"> </w:t>
      </w:r>
      <w:r>
        <w:rPr>
          <w:bCs/>
          <w:b/>
        </w:rPr>
        <w:t xml:space="preserve">temporal</w:t>
      </w:r>
      <w:r>
        <w:t xml:space="preserve">, el horizonte de análisis cubre el periodo 2013–2025, con énfasis particular en la serie continua Sentinel-2 a partir de 2018 y la integración retrospectiva de Landsat 8 entre 2013 y 2017 para extender la cobertura óptica a doce años. En lo</w:t>
      </w:r>
      <w:r>
        <w:t xml:space="preserve"> </w:t>
      </w:r>
      <w:r>
        <w:rPr>
          <w:bCs/>
          <w:b/>
        </w:rPr>
        <w:t xml:space="preserve">temático</w:t>
      </w:r>
      <w:r>
        <w:t xml:space="preserve">, el pipeline aborda cuatro componentes interrelacionados: la clasificación de cobertura de manglar, la detección de cambios espaciotemporales, la correlación con variables climático-hidrológicas y la generación de alertas tempranas operacionales.</w:t>
      </w:r>
    </w:p>
    <w:bookmarkEnd w:id="26"/>
    <w:bookmarkStart w:id="27" w:name="delimitaciones"/>
    <w:p>
      <w:pPr>
        <w:pStyle w:val="Heading2"/>
      </w:pPr>
      <w:r>
        <w:t xml:space="preserve">4.2 Delimitaciones</w:t>
      </w:r>
    </w:p>
    <w:p>
      <w:pPr>
        <w:pStyle w:val="FirstParagraph"/>
      </w:pPr>
      <w:r>
        <w:t xml:space="preserve">El estudio no se propone realizar ciertas táreas que, aun siendo pertinentes, exceden el alcance del proyecto y deben señalarse explícitamente. En primer lugar, no se ejecutan campañas de campo independientes, dado que la validación se apoya íntegramente en cartografías de referencia ya públicadas —INVEMAR 1:25.000 (2020) y ESA WorldCover v200 (2022)—; cualquier verificación in situ adicional —salinidad del suelo, mortalidad de árboles, regeneración natural— queda fuera del alcance. En segundo lugar, el análisis se restringe a la CGSM y no se extiende a otros sistemas lagunares del Caribe o del Pacífico colombiano, aun cuando el pipeline es transferible por diseño. En tercer lugar, el módulo de alertas tempranas se concibe como herramienta descriptiva —reporta el estado presente del ecosistema con base en anomalías y quiebres detectados— y no incorpora capacidades predictivas en sentido estricto, de modo que no se generan proyecciones futuras de cobertura, ni se modelan escenaríos climáticos prospectivos bajo diferentes regímenes de manejo.</w:t>
      </w:r>
    </w:p>
    <w:bookmarkEnd w:id="27"/>
    <w:bookmarkStart w:id="28" w:name="limitaciones"/>
    <w:p>
      <w:pPr>
        <w:pStyle w:val="Heading2"/>
      </w:pPr>
      <w:r>
        <w:t xml:space="preserve">4.3 Limitaciones</w:t>
      </w:r>
    </w:p>
    <w:p>
      <w:pPr>
        <w:pStyle w:val="FirstParagraph"/>
      </w:pPr>
      <w:r>
        <w:t xml:space="preserve">Las restricciones externas que condicionan el alcance de los resultados son las siguientes. La nubosidad persistente del Caribe colombiano reduce la disponibilidad efectiva de imágenes ópticas Sentinel-2 sobre el AOI, limitación parcialmente mitigada mediante la combinación con Landsat 8/9 y la incorporación de Sentinel-1 SAR —independiente de cobertura nubosa— como sensor complementario. La resolución espacial de Sentinel-2 (10 m) limita la detección de cambios en parches sub-hectárea y no permite caracterizar la heterogeneidad del dosel a escala de individuo. La validación se sustenta en cartografías de un único periodo de referencia —INVEMAR 2020, WorldCover 2022—, lo que introduce una incertidumbre temporal al comparar contra los tres periodos del análisis (degradación 2020, recuperación 2022, actual 2024-2025). La causalidad entre eventos ENSO y las perturbaciones detectadas no se establece de manera definitiva, en tanto que el diseño cuantitativo permite establecer asociación temporal y correlación estadística pero no causalidad estricta sin datos auxiliares de salinidad y nivel freático. Finalmente, el acceso a los registros del IDEAM se restringe a las estaciones El Banco (río Magdalena) y Ganadería Caribe (río Aracataca), de modo que la red hidrométrica analizada no abarca la totalidad de los tributaríos secundaríos del bajo Magdalena.</w:t>
      </w:r>
    </w:p>
    <w:bookmarkEnd w:id="28"/>
    <w:bookmarkEnd w:id="29"/>
    <w:bookmarkStart w:id="34" w:name="área-de-estudio"/>
    <w:p>
      <w:pPr>
        <w:pStyle w:val="Heading1"/>
      </w:pPr>
      <w:r>
        <w:t xml:space="preserve">5. Área de estudio</w:t>
      </w:r>
    </w:p>
    <w:tbl>
      <w:tblPr>
        <w:tblStyle w:val="Table"/>
        <w:tblW w:type="pct" w:w="5000"/>
        <w:tblLook w:firstRow="0" w:lastRow="0" w:firstColumn="0" w:lastColumn="0" w:noHBand="0" w:noVBand="0" w:val="0000"/>
        <w:jc w:val="start"/>
        <w:tblLayout w:type="fixed"/>
      </w:tblPr>
      <w:tblGrid>
        <w:gridCol w:w="7920"/>
      </w:tblGrid>
      <w:tr>
        <w:tc>
          <w:tcPr/>
          <w:bookmarkStart w:id="33" w:name="fig-area-estudio"/>
          <w:p>
            <w:pPr>
              <w:pStyle w:val="Compact"/>
              <w:jc w:val="center"/>
            </w:pPr>
            <w:r>
              <w:drawing>
                <wp:inline>
                  <wp:extent cx="4800600" cy="3505701"/>
                  <wp:effectExtent b="0" l="0" r="0" t="0"/>
                  <wp:docPr descr="" title="" id="31" name="Picture"/>
                  <a:graphic>
                    <a:graphicData uri="http://schemas.openxmlformats.org/drawingml/2006/picture">
                      <pic:pic>
                        <pic:nvPicPr>
                          <pic:cNvPr descr="../outputs/figures/mapa_area_estudio.png" id="32" name="Picture"/>
                          <pic:cNvPicPr>
                            <a:picLocks noChangeArrowheads="1" noChangeAspect="1"/>
                          </pic:cNvPicPr>
                        </pic:nvPicPr>
                        <pic:blipFill>
                          <a:blip r:embed="rId30"/>
                          <a:stretch>
                            <a:fillRect/>
                          </a:stretch>
                        </pic:blipFill>
                        <pic:spPr bwMode="auto">
                          <a:xfrm>
                            <a:off x="0" y="0"/>
                            <a:ext cx="4800600" cy="350570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3"/>
        </w:tc>
      </w:tr>
    </w:tbl>
    <w:p>
      <w:pPr>
        <w:pStyle w:val="BodyText"/>
      </w:pPr>
      <w:r>
        <w:t xml:space="preserve">El área de estudio comprende la CGSM y su zona de influencia costera, ubicada en el departamento del Magdalena, Colombia, entre aproximadamente 10°20’ N–11°05’ N y 74°10’ W–74°55’ W. El proyecto opera con dos delimitaciones de área anidadas que cumplen funciones distintas. La primera, denominada</w:t>
      </w:r>
      <w:r>
        <w:t xml:space="preserve"> </w:t>
      </w:r>
      <w:r>
        <w:rPr>
          <w:bCs/>
          <w:b/>
        </w:rPr>
        <w:t xml:space="preserve">AOI envolvente</w:t>
      </w:r>
      <w:r>
        <w:t xml:space="preserve"> </w:t>
      </w:r>
      <w:r>
        <w:t xml:space="preserve">y delimitada con 34 vértices sobre 5.073 km², se utilizó únicamente en la iteración preliminar del proyecto (marzo de 2026) y se utilizó como baseline preliminar para la iteración inicial del proyecto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t xml:space="preserve"> </w:t>
      </w:r>
      <w:r>
        <w:rPr>
          <w:bCs/>
          <w:b/>
        </w:rPr>
        <w:t xml:space="preserve">AOI acotado</w:t>
      </w:r>
      <w:r>
        <w:t xml:space="preserve"> </w:t>
      </w:r>
      <w: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t xml:space="preserve">Para el análisis de series de tiempo se definieron 8 estaciones de muestreo, de las cuales 5 corresponden a estaciones con coordenadas exactas obtenidas del dataset de monitoreo de estructura de manglares del INVEMAR públicado en GBIF (Beltrán et al., 2022; DOI: 10.15472/0fqdp4) —Isla Boqueron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rehabilitacion hidrológica del Caño Clarín.</w:t>
      </w:r>
    </w:p>
    <w:bookmarkEnd w:id="34"/>
    <w:bookmarkStart w:id="36" w:name="fuentes-de-datos"/>
    <w:p>
      <w:pPr>
        <w:pStyle w:val="Heading1"/>
      </w:pPr>
      <w:r>
        <w:t xml:space="preserve">6. Fuentes de Datos</w:t>
      </w:r>
    </w:p>
    <w:p>
      <w:pPr>
        <w:pStyle w:val="FirstParagraph"/>
      </w:pPr>
      <w:r>
        <w:t xml:space="preserve">Los datos utilizados en este proyecto provienen tanto de plataformas de geocomputación en la nube como de repositoríos institucionales abiertos. Siguiendo la declaración cuádruple de resolución recomendada por Gomarasca (2010) para datos de teledetección, las dos colecciones ópticas centrales del proyecto se caracterizan por:</w:t>
      </w:r>
      <w:r>
        <w:t xml:space="preserve"> </w:t>
      </w:r>
      <w:r>
        <w:rPr>
          <w:bCs/>
          <w:b/>
        </w:rPr>
        <w:t xml:space="preserve">Sentinel-2 MSI L2A</w:t>
      </w:r>
      <w:r>
        <w:t xml:space="preserve"> </w:t>
      </w:r>
      <w:r>
        <w:t xml:space="preserve">con resolución espacial de 10 m (B2 azul, B3 verde, B4 rojo, B8 NIR), 20 m (B5-B7, B8A, B11, B12 SWIR) y 60 m (B1, B9, B10), resolución espectral de 13 bandas entre 443 y 2190 nm, resolución temporal de 5 días (constelación S2A+S2B) y resolución radiométrica de 12 bits; y</w:t>
      </w:r>
      <w:r>
        <w:t xml:space="preserve"> </w:t>
      </w:r>
      <w:r>
        <w:rPr>
          <w:bCs/>
          <w:b/>
        </w:rPr>
        <w:t xml:space="preserve">Landsat 8/9 OLI</w:t>
      </w:r>
      <w:r>
        <w:t xml:space="preserve"> </w:t>
      </w:r>
      <w:r>
        <w:t xml:space="preserve">con resolución espacial de 30 m en bandas multispectrales (15 m en pancromática), resolución espectral de 11 bandas entre 433 y 12500 nm, resolución temporal de 16 días por satélite (8 días combinados L8+L9) y resolución radiométrica de 12 bits cuantizada a 16 bits para distribución.</w:t>
      </w:r>
    </w:p>
    <w:tbl>
      <w:tblPr>
        <w:tblStyle w:val="Table"/>
        <w:tblW w:type="pct" w:w="5000"/>
        <w:tblLook w:firstRow="0" w:lastRow="0" w:firstColumn="0" w:lastColumn="0" w:noHBand="0" w:noVBand="0" w:val="0000"/>
        <w:jc w:val="start"/>
        <w:tblLayout w:type="fixed"/>
      </w:tblPr>
      <w:tblGrid>
        <w:gridCol w:w="7920"/>
      </w:tblGrid>
      <w:tr>
        <w:tc>
          <w:tcPr/>
          <w:bookmarkStart w:id="35" w:name="tbl-fuentes"/>
          <w:p>
            <w:pPr>
              <w:jc w:val="center"/>
            </w:pPr>
            <w:pPr>
              <w:jc w:val="start"/>
              <w:spacing w:before="200"/>
              <w:pStyle w:val="ImageCaption"/>
            </w:pPr>
            <w: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376"/>
              <w:gridCol w:w="1425"/>
              <w:gridCol w:w="2217"/>
              <w:gridCol w:w="1900"/>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imagenes (2018–2025)</w:t>
                  </w:r>
                </w:p>
              </w:tc>
              <w:tc>
                <w:tcPr/>
                <w:p>
                  <w:pPr>
                    <w:pStyle w:val="Compact"/>
                    <w:jc w:val="left"/>
                    <w:jc w:val="center"/>
                  </w:pPr>
                  <w:r>
                    <w:t xml:space="preserve">Indices espectrales y RGB para SamGeo</w:t>
                  </w:r>
                </w:p>
              </w:tc>
              <w:tc>
                <w:tcPr/>
                <w:p>
                  <w:pPr>
                    <w:pStyle w:val="Compact"/>
                    <w:jc w:val="left"/>
                    <w:jc w:val="center"/>
                  </w:pPr>
                  <w:r>
                    <w:t xml:space="preserve">GEE: COPERNICUS/S2_SR_HARMONIZED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LANDSAT/LC08/C02/T1_L2</w:t>
                  </w:r>
                </w:p>
              </w:tc>
            </w:tr>
            <w:tr>
              <w:tc>
                <w:tcPr/>
                <w:p>
                  <w:pPr>
                    <w:pStyle w:val="Compact"/>
                    <w:jc w:val="left"/>
                    <w:jc w:val="center"/>
                  </w:pPr>
                  <w:r>
                    <w:t xml:space="preserve">Sentinel-1 SAR (ESA)</w:t>
                  </w:r>
                </w:p>
              </w:tc>
              <w:tc>
                <w:tcPr/>
                <w:p>
                  <w:pPr>
                    <w:pStyle w:val="Compact"/>
                    <w:jc w:val="left"/>
                    <w:jc w:val="center"/>
                  </w:pPr>
                  <w:r>
                    <w:t xml:space="preserve">85 imagenes (2020)</w:t>
                  </w:r>
                </w:p>
              </w:tc>
              <w:tc>
                <w:tcPr/>
                <w:p>
                  <w:pPr>
                    <w:pStyle w:val="Compact"/>
                    <w:jc w:val="left"/>
                    <w:jc w:val="center"/>
                  </w:pPr>
                  <w:r>
                    <w:t xml:space="preserve">Detección de inundación bajo dosel</w:t>
                  </w:r>
                </w:p>
              </w:tc>
              <w:tc>
                <w:tcPr/>
                <w:p>
                  <w:pPr>
                    <w:pStyle w:val="Compact"/>
                    <w:jc w:val="left"/>
                    <w:jc w:val="center"/>
                  </w:pPr>
                  <w:r>
                    <w:t xml:space="preserve">GEE: COPERNICUS/S1_GRD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inundaciónes</w:t>
                  </w:r>
                </w:p>
              </w:tc>
              <w:tc>
                <w:tcPr/>
                <w:p>
                  <w:pPr>
                    <w:pStyle w:val="Compact"/>
                    <w:jc w:val="left"/>
                    <w:jc w:val="center"/>
                  </w:pPr>
                  <w:r>
                    <w:t xml:space="preserve">GEE: GLOBAL_FLOOD_DB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JRC/GSW1_4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Restriccion de elevación (&lt; 10 m)</w:t>
                  </w:r>
                </w:p>
              </w:tc>
              <w:tc>
                <w:tcPr/>
                <w:p>
                  <w:pPr>
                    <w:pStyle w:val="Compact"/>
                    <w:jc w:val="left"/>
                    <w:jc w:val="center"/>
                  </w:pPr>
                  <w:r>
                    <w:t xml:space="preserve">GEE: USGS/SRTMGL1_003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DOI: 10.15472/0fqdp4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sat-io/GMW</w:t>
                  </w:r>
                </w:p>
              </w:tc>
            </w:tr>
          </w:tbl>
          <w:bookmarkEnd w:id="35"/>
          <w:p/>
        </w:tc>
      </w:tr>
    </w:tbl>
    <w:p>
      <w:pPr>
        <w:pStyle w:val="BodyText"/>
      </w:pPr>
      <w:r>
        <w:t xml:space="preserve">El conjunto de datos satelitales del proyecto se apoya principalmente en las misiones Landsat 8 y Landsat 9 (NASA-USGS), el modelo digital de elevación SRTM v3 (NASA) y los índices climáticos ENSO ONI y SOI del Climate Prediction Center de la NOAA, complementados con la Global Flood Database del Dartmouth Flood Observatory —derivada de MODIS NASA y Sentinel-1 ESA— para el inventario histórico de inundaciones. La capa óptica de alta resolución espacial y temporal proviene de la constelación europea Sentinel-2 (ESA-Copernicus), y la observación radar de Sentinel-1 (ESA-Copernicus). La segmentación promptable del manglar se ejecuta con la biblioteca SamGeo (Wu y Osco, 2023), adaptación geoespacial del</w:t>
      </w:r>
      <w:r>
        <w:t xml:space="preserve"> </w:t>
      </w:r>
      <w:r>
        <w:rPr>
          <w:iCs/>
          <w:i/>
        </w:rPr>
        <w:t xml:space="preserve">Segment Anything Model</w:t>
      </w:r>
      <w:r>
        <w:t xml:space="preserve"> </w:t>
      </w:r>
      <w: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6"/>
    <w:bookmarkStart w:id="60" w:name="metodología-y-código"/>
    <w:p>
      <w:pPr>
        <w:pStyle w:val="Heading1"/>
      </w:pPr>
      <w:r>
        <w:t xml:space="preserve">7. Metodología y código</w:t>
      </w:r>
    </w:p>
    <w:p>
      <w:pPr>
        <w:pStyle w:val="FirstParagraph"/>
      </w:pPr>
      <w:r>
        <w:t xml:space="preserve">El proyecto se desarrolla siguiendo un pipeline modular y reproducible organizado en cuatro fases y un modulo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tárea, y la interoperabilidad entre fases se mantiene mediante formatos estandar —GeoTIFF, GeoJSON y CSV—.</w:t>
      </w:r>
    </w:p>
    <w:bookmarkStart w:id="38" w:name="X285332d77872a180b13da5d229caf392fa44ba5"/>
    <w:p>
      <w:pPr>
        <w:pStyle w:val="Heading2"/>
      </w:pPr>
      <w:r>
        <w:t xml:space="preserve">7.1 Distribución multilingüe de responsabilidades</w:t>
      </w:r>
    </w:p>
    <w:p>
      <w:pPr>
        <w:pStyle w:val="FirstParagraph"/>
      </w:pPr>
      <w:r>
        <w:t xml:space="preserve">La arquitectura del proyecto distribuye las táreas entre los tres lenguajes del curso —Python, R y Julia— según la conveniencia disciplinar de cada fase, no como mera coexistencia obligatoria.</w:t>
      </w:r>
      <w:r>
        <w:t xml:space="preserve"> </w:t>
      </w:r>
      <w:r>
        <w:rPr>
          <w:bCs/>
          <w:b/>
        </w:rPr>
        <w:t xml:space="preserve">Python</w:t>
      </w:r>
      <w:r>
        <w:t xml:space="preserve"> </w:t>
      </w:r>
      <w:r>
        <w:t xml:space="preserve">sustenta la mayor parte del flujo: adquisición y procesamiento en Google Earth Engine, segmentación promptable con SamGeo, manipulación de datacubes con</w:t>
      </w:r>
      <w:r>
        <w:t xml:space="preserve"> </w:t>
      </w:r>
      <w:r>
        <w:rPr>
          <w:rStyle w:val="VerbatimChar"/>
        </w:rPr>
        <w:t xml:space="preserve">xarray</w:t>
      </w:r>
      <w:r>
        <w:t xml:space="preserve">, clasificación supervisada con Random Forest, generación del dashboard interactivo con</w:t>
      </w:r>
      <w:r>
        <w:t xml:space="preserve"> </w:t>
      </w:r>
      <w:r>
        <w:rPr>
          <w:rStyle w:val="VerbatimChar"/>
        </w:rPr>
        <w:t xml:space="preserve">folium</w:t>
      </w:r>
      <w:r>
        <w:t xml:space="preserve"> </w:t>
      </w:r>
      <w:r>
        <w:t xml:space="preserve">y descarga del forzamiento climático ERA5-Land con</w:t>
      </w:r>
      <w:r>
        <w:t xml:space="preserve"> </w:t>
      </w:r>
      <w:r>
        <w:rPr>
          <w:rStyle w:val="VerbatimChar"/>
        </w:rPr>
        <w:t xml:space="preserve">cdsapi</w:t>
      </w:r>
      <w:r>
        <w:t xml:space="preserve">.</w:t>
      </w:r>
      <w:r>
        <w:t xml:space="preserve"> </w:t>
      </w:r>
      <w:r>
        <w:rPr>
          <w:bCs/>
          <w:b/>
        </w:rPr>
        <w:t xml:space="preserve">R</w:t>
      </w:r>
      <w:r>
        <w:t xml:space="preserve"> </w:t>
      </w:r>
      <w:r>
        <w:t xml:space="preserve">se reserva para táreas estadísticas y de series ecohidrológicas donde su ecosistema es más maduro: detección de quiebres bfast sobre las series NDVI mediante el paquete</w:t>
      </w:r>
      <w:r>
        <w:t xml:space="preserve"> </w:t>
      </w:r>
      <w:r>
        <w:rPr>
          <w:rStyle w:val="VerbatimChar"/>
        </w:rPr>
        <w:t xml:space="preserve">bfast</w:t>
      </w:r>
      <w:r>
        <w:t xml:space="preserve">, construcción de un datacube</w:t>
      </w:r>
      <w:r>
        <w:t xml:space="preserve"> </w:t>
      </w:r>
      <w:r>
        <w:rPr>
          <w:rStyle w:val="VerbatimChar"/>
        </w:rPr>
        <w:t xml:space="preserve">stars</w:t>
      </w:r>
      <w:r>
        <w:t xml:space="preserve"> </w:t>
      </w:r>
      <w:r>
        <w:t xml:space="preserve">como contraparte local del flujo GEE, y replicación independiente de los análisis ENSO y caudal IDEAM mediante</w:t>
      </w:r>
      <w:r>
        <w:t xml:space="preserve"> </w:t>
      </w:r>
      <w:r>
        <w:rPr>
          <w:rStyle w:val="VerbatimChar"/>
        </w:rPr>
        <w:t xml:space="preserve">tidyverse</w:t>
      </w:r>
      <w:r>
        <w:t xml:space="preserve"> </w:t>
      </w:r>
      <w:r>
        <w:t xml:space="preserve">para validación cruzada Python ↔ R.</w:t>
      </w:r>
      <w:r>
        <w:t xml:space="preserve"> </w:t>
      </w:r>
      <w:r>
        <w:rPr>
          <w:bCs/>
          <w:b/>
        </w:rPr>
        <w:t xml:space="preserve">Julia</w:t>
      </w:r>
      <w:r>
        <w:t xml:space="preserve"> </w:t>
      </w:r>
      <w:r>
        <w:t xml:space="preserve">se incorpora para el cómputo geométrico de alta velocidad sobre miles de polígonos vectoriales: métricas de fragmentación del paisaje (NP, PD, MPA, MSI, NND), cálculo exacto del área en EPSG:9377 mediante el algoritmo del cordón (</w:t>
      </w:r>
      <w:r>
        <w:rPr>
          <w:rStyle w:val="VerbatimChar"/>
        </w:rPr>
        <w:t xml:space="preserve">shoelace</w:t>
      </w:r>
      <w:r>
        <w:t xml:space="preserve">) y predicados topológicos DE-9IM (</w:t>
      </w:r>
      <w:r>
        <w:rPr>
          <w:rStyle w:val="VerbatimChar"/>
        </w:rPr>
        <w:t xml:space="preserve">intersects</w:t>
      </w:r>
      <w:r>
        <w:t xml:space="preserve">,</w:t>
      </w:r>
      <w:r>
        <w:t xml:space="preserve"> </w:t>
      </w:r>
      <w:r>
        <w:rPr>
          <w:rStyle w:val="VerbatimChar"/>
        </w:rPr>
        <w:t xml:space="preserve">contains</w:t>
      </w:r>
      <w:r>
        <w:t xml:space="preserve">) ejecutados con</w:t>
      </w:r>
      <w:r>
        <w:t xml:space="preserve"> </w:t>
      </w:r>
      <w:r>
        <w:rPr>
          <w:rStyle w:val="VerbatimChar"/>
        </w:rPr>
        <w:t xml:space="preserve">LibGEOS.jl</w:t>
      </w:r>
      <w:r>
        <w:t xml:space="preserve">, la misma biblioteca GEOS que sustenta PostGIS y</w:t>
      </w:r>
      <w:r>
        <w:t xml:space="preserve"> </w:t>
      </w:r>
      <w:r>
        <w:rPr>
          <w:rStyle w:val="VerbatimChar"/>
        </w:rPr>
        <w:t xml:space="preserve">geopandas</w:t>
      </w:r>
      <w:r>
        <w:t xml:space="preserve">, lo cual garantiza consistencia geométrica entre los tres entornos. La equivalencia operativa entre lenguajes se demuestra mediante cuatro validaciones cruzadas formales documentadas en la sección de Validación.</w:t>
      </w:r>
    </w:p>
    <w:tbl>
      <w:tblPr>
        <w:tblStyle w:val="Table"/>
        <w:tblW w:type="pct" w:w="5000"/>
        <w:tblLook w:firstRow="0" w:lastRow="0" w:firstColumn="0" w:lastColumn="0" w:noHBand="0" w:noVBand="0" w:val="0000"/>
        <w:jc w:val="start"/>
        <w:tblLayout w:type="fixed"/>
      </w:tblPr>
      <w:tblGrid>
        <w:gridCol w:w="7920"/>
      </w:tblGrid>
      <w:tr>
        <w:tc>
          <w:tcPr/>
          <w:bookmarkStart w:id="37" w:name="tbl-lenguajes"/>
          <w:p>
            <w:pPr>
              <w:jc w:val="center"/>
            </w:pPr>
            <w:pPr>
              <w:jc w:val="start"/>
              <w:spacing w:before="200"/>
              <w:pStyle w:val="ImageCaption"/>
            </w:pPr>
            <w: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notebooks/04c_topologia_julia</w:t>
                  </w:r>
                  <w:r>
                    <w:t xml:space="preserve">,</w:t>
                  </w:r>
                  <w:r>
                    <w:t xml:space="preserve"> </w:t>
                  </w:r>
                  <w:r>
                    <w:rPr>
                      <w:rStyle w:val="VerbatimChar"/>
                    </w:rPr>
                    <w:t xml:space="preserve">14_validacion_trilingual</w:t>
                  </w:r>
                </w:p>
              </w:tc>
            </w:tr>
          </w:tbl>
          <w:bookmarkEnd w:id="37"/>
          <w:p/>
        </w:tc>
      </w:tr>
    </w:tbl>
    <w:bookmarkEnd w:id="38"/>
    <w:bookmarkStart w:id="44" w:name="X6d916e89bf56b7b9d58601b12f1daefed66a59f"/>
    <w:p>
      <w:pPr>
        <w:pStyle w:val="Heading2"/>
      </w:pPr>
      <w:r>
        <w:t xml:space="preserve">7.2 Fase 1: Construcción del datacube multitemporal (Python + geemap)</w:t>
      </w:r>
    </w:p>
    <w:p>
      <w:pPr>
        <w:pStyle w:val="FirstParagraph"/>
      </w:pPr>
      <w:r>
        <w:t xml:space="preserve">La primera fase del pipeline consiste en la construcción de un datacube listo para análisis —una estructura tridimensional (X, Y, tiempo) que organiza las observaciónes satelitales de la CGSM a resoluciónes de 10 a 30 metros segun el sensor, donde cada capa temporal contiene los valores de reflectancia superficial e índices espectrales derivados para un periodo de composición determinado—. Se construye una coleccion de 789 imagenes Sentinel-2 SR Harmonized para el periodo 2018–2025, filtrada por cobertura de nubes inferior al 20% y recortada al polígono del área de estudio. Se aplica una mascara de nubes utilizando la banda QA60 y se calculan los índices NDVI = (B8-B4)/(B8+B4), NDWI = (B3-B8)/(B3+B8) y CMRI = NDVI - NDWI por imagen, cuya efectividad para discriminar manglar de otras coberturas en ambientes estuarinos ha sido documentada por Gupta et al. (2018).</w:t>
      </w:r>
      <w:r>
        <w:t xml:space="preserve"> </w:t>
      </w:r>
      <w:r>
        <w:rPr>
          <w:iCs/>
          <w:i/>
        </w:rPr>
        <w:t xml:space="preserve">La construcción de la colección Sentinel-2 SR Harmonized en GEE con cálculo de los tres índices espectrales se documenta en el Anexo E, ítem E.1.d.</w:t>
      </w:r>
    </w:p>
    <w:p>
      <w:pPr>
        <w:pStyle w:val="BodyText"/>
      </w:pPr>
      <w:r>
        <w:t xml:space="preserve">El datacube se materializa adicionalmente como tres archivos NetCDF con convenciones CF-1.8 —generados por el script</w:t>
      </w:r>
      <w:r>
        <w:t xml:space="preserve"> </w:t>
      </w:r>
      <w:r>
        <w:rPr>
          <w:rStyle w:val="VerbatimChar"/>
        </w:rPr>
        <w:t xml:space="preserve">build_cubos.py</w:t>
      </w:r>
      <w:r>
        <w:t xml:space="preserve"> </w:t>
      </w:r>
      <w:r>
        <w:t xml:space="preserve">mediante</w:t>
      </w:r>
      <w:r>
        <w:t xml:space="preserve"> </w:t>
      </w:r>
      <w:r>
        <w:rPr>
          <w:rStyle w:val="VerbatimChar"/>
        </w:rPr>
        <w:t xml:space="preserve">xarray</w:t>
      </w:r>
      <w:r>
        <w:t xml:space="preserve"> </w:t>
      </w:r>
      <w:r>
        <w:t xml:space="preserve">y</w:t>
      </w:r>
      <w:r>
        <w:t xml:space="preserve"> </w:t>
      </w:r>
      <w:r>
        <w:rPr>
          <w:rStyle w:val="VerbatimChar"/>
        </w:rPr>
        <w:t xml:space="preserve">rioxarray</w:t>
      </w:r>
      <w:r>
        <w:t xml:space="preserve">—, de modo que el cubo queda disponible en disco para análisis fuera de la nube y reutilizable desde Python, R o Julia sin necesidad de re-consultar la API de GEE. Cada raster se reproyecta al sistema oficial colombiano EPSG:9377 y se resamplea a 30 metros antes de concatenarse a lo largo del eje temporal, de esta manera los tres cubos comparten una sola rejilla espacial y se diferencian únicamente por la fuente sensorial y la frecuencia temporal, así el flujo de la Fase 4 puede leer cualquiera de los tres con el mismo bloque de código.</w:t>
      </w:r>
    </w:p>
    <w:tbl>
      <w:tblPr>
        <w:tblStyle w:val="Table"/>
        <w:tblW w:type="pct" w:w="5000"/>
        <w:tblLook w:firstRow="0" w:lastRow="0" w:firstColumn="0" w:lastColumn="0" w:noHBand="0" w:noVBand="0" w:val="0000"/>
        <w:jc w:val="start"/>
        <w:tblLayout w:type="fixed"/>
      </w:tblPr>
      <w:tblGrid>
        <w:gridCol w:w="7920"/>
      </w:tblGrid>
      <w:tr>
        <w:tc>
          <w:tcPr/>
          <w:bookmarkStart w:id="39" w:name="tbl-cubos"/>
          <w:p>
            <w:pPr>
              <w:jc w:val="center"/>
            </w:pPr>
            <w:pPr>
              <w:jc w:val="start"/>
              <w:spacing w:before="200"/>
              <w:pStyle w:val="ImageCaption"/>
            </w:pPr>
            <w:r>
              <w:t xml:space="preserve">Tabla 3: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39"/>
          <w:p/>
        </w:tc>
      </w:tr>
    </w:tbl>
    <w:p>
      <w:pPr>
        <w:pStyle w:val="BodyText"/>
      </w:pPr>
      <w:r>
        <w:rPr>
          <w:iCs/>
          <w:i/>
        </w:rPr>
        <w:t xml:space="preserve">El bloque de lectura perezosa del datacube NetCDF con</w:t>
      </w:r>
      <w:r>
        <w:rPr>
          <w:iCs/>
          <w:i/>
        </w:rPr>
        <w:t xml:space="preserve"> </w:t>
      </w:r>
      <w:r>
        <w:rPr>
          <w:rStyle w:val="VerbatimChar"/>
          <w:iCs/>
          <w:i/>
        </w:rPr>
        <w:t xml:space="preserve">xarray</w:t>
      </w:r>
      <w:r>
        <w:rPr>
          <w:iCs/>
          <w:i/>
        </w:rPr>
        <w:t xml:space="preserve"> </w:t>
      </w:r>
      <w:r>
        <w:rPr>
          <w:iCs/>
          <w:i/>
        </w:rPr>
        <w:t xml:space="preserve">se documenta en el Anexo E, ítem E.1.a.</w:t>
      </w:r>
    </w:p>
    <w:p>
      <w:pPr>
        <w:pStyle w:val="BodyText"/>
      </w:pPr>
      <w: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t xml:space="preserve"> </w:t>
      </w:r>
      <w:hyperlink w:anchor="fig-ndvi-cambio">
        <w:r>
          <w:rPr>
            <w:rStyle w:val="Hyperlink"/>
          </w:rPr>
          <w:t xml:space="preserve">figura 2</w:t>
        </w:r>
      </w:hyperlink>
      <w:r>
        <w:t xml:space="preserve"> </w:t>
      </w:r>
      <w: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Style w:val="Table"/>
        <w:tblW w:type="pct" w:w="5000"/>
        <w:tblLook w:firstRow="0" w:lastRow="0" w:firstColumn="0" w:lastColumn="0" w:noHBand="0" w:noVBand="0" w:val="0000"/>
        <w:jc w:val="start"/>
        <w:tblLayout w:type="fixed"/>
      </w:tblPr>
      <w:tblGrid>
        <w:gridCol w:w="7920"/>
      </w:tblGrid>
      <w:tr>
        <w:tc>
          <w:tcPr/>
          <w:bookmarkStart w:id="43" w:name="fig-ndvi-cambio"/>
          <w:p>
            <w:pPr>
              <w:pStyle w:val="Compact"/>
              <w:jc w:val="center"/>
            </w:pPr>
            <w:r>
              <w:drawing>
                <wp:inline>
                  <wp:extent cx="4533900" cy="3885152"/>
                  <wp:effectExtent b="0" l="0" r="0" t="0"/>
                  <wp:docPr descr="" title="" id="41" name="Picture"/>
                  <a:graphic>
                    <a:graphicData uri="http://schemas.openxmlformats.org/drawingml/2006/picture">
                      <pic:pic>
                        <pic:nvPicPr>
                          <pic:cNvPr descr="../outputs/figures/ndvi_cambio_cubo.png" id="42" name="Picture"/>
                          <pic:cNvPicPr>
                            <a:picLocks noChangeArrowheads="1" noChangeAspect="1"/>
                          </pic:cNvPicPr>
                        </pic:nvPicPr>
                        <pic:blipFill>
                          <a:blip r:embed="rId40"/>
                          <a:stretch>
                            <a:fillRect/>
                          </a:stretch>
                        </pic:blipFill>
                        <pic:spPr bwMode="auto">
                          <a:xfrm>
                            <a:off x="0" y="0"/>
                            <a:ext cx="4533900" cy="3885152"/>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Cambio en la mediana de NDVI entre el estado actual (2024–2025) y el periodo de degradación (2020 H2), calculado desde el datacube trimestral CF-1.8 sobre el AOI acotado. El azul indica ganancia de vigor (regeneración), el rojo indica pérdida; coordenadas en metros sobre EPSG:9377 MAGNA-SIRGAS Origen Nacional.</w:t>
            </w:r>
          </w:p>
          <w:bookmarkEnd w:id="43"/>
        </w:tc>
      </w:tr>
    </w:tbl>
    <w:bookmarkEnd w:id="44"/>
    <w:bookmarkStart w:id="45" w:name="Xef39b5822de2a8d5b16b154c96053420e3589a1"/>
    <w:p>
      <w:pPr>
        <w:pStyle w:val="Heading2"/>
      </w:pPr>
      <w:r>
        <w:t xml:space="preserve">7.3 Fase 2: Análisis de series de tiempo (Python + pandas / R + bfast)</w:t>
      </w:r>
    </w:p>
    <w:p>
      <w:pPr>
        <w:pStyle w:val="FirstParagraph"/>
      </w:pPr>
      <w:r>
        <w:t xml:space="preserve">Se extraen series temporales mensuales de NDVI para las 8 estaciones de muestreo definidas, utilizando un buffer de 500 metros alrededor de cada punto y la función reduceRegion de GEE para obtener el valor medio del índice por estación y por mes. La serie se construye combinando dos sensores: Landsat 8 Collection 2 Level 2 para el periodo 2013–2017 (345 registros, con corrección del factor de escala x0,0000275 - 0,2 segun especificacion USGS) y Sentinel-2 SR Harmonized para el periodo 2018–2025 (584 registros), generando una serie combinada de 929 observaciónes mensuales que cubre 12 años. Posteriormente se calcula el z-score temporal por estación —z = (NDVI del mes - media histórica) / desvíacion estandar—, lo que permite identificar anomalias pronunciadas definidas como aquellas con z &lt; -2. De manera complementaria, se aplica el algoritmo bfast (Breaks For Additive Season and Trend) en R sobre las series mensuales combinadas con parámetros h = 0,15 y h = 0,10 para evaluar la presencia de quiebres estructurales en la tendencia de largo plazo.</w:t>
      </w:r>
    </w:p>
    <w:p>
      <w:pPr>
        <w:pStyle w:val="BodyText"/>
      </w:pPr>
      <w:r>
        <w:rPr>
          <w:iCs/>
          <w:i/>
        </w:rPr>
        <w:t xml:space="preserve">El cálculo de z-scores y la detección de anomalías en Python se documentan en el Anexo E, ítem E.1.b; la aplicación de bfast en R sobre la serie combinada Landsat 8 + Sentinel-2 se documenta en el ítem E.1.e.</w:t>
      </w:r>
    </w:p>
    <w:bookmarkEnd w:id="45"/>
    <w:bookmarkStart w:id="46" w:name="Xdbb4cc8b21eead9bd6c4afe235887ebf7e4b020"/>
    <w:p>
      <w:pPr>
        <w:pStyle w:val="Heading2"/>
      </w:pPr>
      <w:r>
        <w:t xml:space="preserve">7.4 Fase 3: Segmentación automática con SamGeo (Python + samgeo)</w:t>
      </w:r>
    </w:p>
    <w:p>
      <w:pPr>
        <w:pStyle w:val="FirstParagraph"/>
      </w:pPr>
      <w:r>
        <w:t xml:space="preserve">Se aplica el modelo SamGeo con el backbone vit_b sobre los composites RGB de los tres periodos de referencia —degradación (julio–diciembre 2020), recuperación (enero–junio 2022) y estado actual (julio 2024 a junio 2025)—, prevíamente remuestreados de 10 a 30 metros para ajustarse a las limitaciones de memoria del contenedor Docker. Las mascaras resultantes se vectorizan y se clasifican por estado —manglar o no manglar— segun el valor medio de CMRI dentro de cada parche, calculado mediante reduceRegions en GEE con procesamiento en lotes de 200 parches. Se filtran los parches por área minima de 1 hectárea y maxima de 5.000 hectáreas para eliminar fragmentos de ruido y fondos de imagen.</w:t>
      </w:r>
    </w:p>
    <w:p>
      <w:pPr>
        <w:pStyle w:val="BodyText"/>
      </w:pPr>
      <w:r>
        <w:rPr>
          <w:iCs/>
          <w:i/>
        </w:rPr>
        <w:t xml:space="preserve">La segmentación promptable con SamGeo vit_b y la vectorización por periodo se documentan en el Anexo E, ítem E.2.b.</w:t>
      </w:r>
    </w:p>
    <w:bookmarkEnd w:id="46"/>
    <w:bookmarkStart w:id="47" w:name="Xeecd85486b9012f96375d5decbbd65088d69214"/>
    <w:p>
      <w:pPr>
        <w:pStyle w:val="Heading2"/>
      </w:pPr>
      <w:r>
        <w:t xml:space="preserve">7.5 Fase 4: Métricas de fragmentación del paisaje (Julia)</w:t>
      </w:r>
    </w:p>
    <w:p>
      <w:pPr>
        <w:pStyle w:val="FirstParagraph"/>
      </w:pPr>
      <w:r>
        <w:t xml:space="preserve">Se computan métricas de ecología del paisaje sobre los parches de manglar vectorizados para cada uno de los tres periodos, aprovechando la velocidad de Julia en operaciones geométricas sobre grandes volumenes de datos vectoriales. Las métricas incluyen: número de parches, densidad de parches por 1.000 hectáreas, área media de parche con desvíacion estandar, índice de forma medio —MSI = perimetro / sqrt(pi x área)—, distribución de parches por clases de tamano (1–10, 10–50, 50–100, 100–500, 500–1.000 y 1.000–5.000 ha), y distancia media al vecino más cercano —NND— como indicador de conectividad.</w:t>
      </w:r>
    </w:p>
    <w:p>
      <w:pPr>
        <w:pStyle w:val="BodyText"/>
      </w:pPr>
      <w:r>
        <w:rPr>
          <w:iCs/>
          <w:i/>
        </w:rPr>
        <w:t xml:space="preserve">La función</w:t>
      </w:r>
      <w:r>
        <w:rPr>
          <w:iCs/>
          <w:i/>
        </w:rPr>
        <w:t xml:space="preserve"> </w:t>
      </w:r>
      <w:r>
        <w:rPr>
          <w:rStyle w:val="VerbatimChar"/>
          <w:iCs/>
          <w:i/>
        </w:rPr>
        <w:t xml:space="preserve">compute_metrics</w:t>
      </w:r>
      <w:r>
        <w:rPr>
          <w:iCs/>
          <w:i/>
        </w:rPr>
        <w:t xml:space="preserve"> </w:t>
      </w:r>
      <w:r>
        <w:rPr>
          <w:iCs/>
          <w:i/>
        </w:rPr>
        <w:t xml:space="preserve">en Julia que calcula área (algoritmo del cordón), MSI y NND sobre los parches reproyectados a EPSG:9377 se documenta en el Anexo E, ítem E.4.a.</w:t>
      </w:r>
    </w:p>
    <w:bookmarkEnd w:id="47"/>
    <w:bookmarkStart w:id="48" w:name="Xc7bf14ca353f94886b1e8861ae8e19552f5f88a"/>
    <w:p>
      <w:pPr>
        <w:pStyle w:val="Heading2"/>
      </w:pPr>
      <w:r>
        <w:t xml:space="preserve">7.6 Patrones de implementación: lectura perezosa, reproyección y topología</w:t>
      </w:r>
    </w:p>
    <w:p>
      <w:pPr>
        <w:pStyle w:val="FirstParagraph"/>
      </w:pPr>
      <w:r>
        <w:t xml:space="preserve">Como cierre de la Metodología se incorporan tres patrones que refuerzan la robustez técnica del flujo: lectura perezosa de rasters, reproyección al sistema oficial colombiano y evaluación de predicados topológicos DE-9IM.</w:t>
      </w:r>
    </w:p>
    <w:p>
      <w:pPr>
        <w:pStyle w:val="BodyText"/>
      </w:pPr>
      <w:r>
        <w:t xml:space="preserve">En primer lugar, los rasters de máscara producidos por SamGeo se inspeccionan mediante</w:t>
      </w:r>
      <w:r>
        <w:t xml:space="preserve"> </w:t>
      </w:r>
      <w:r>
        <w:rPr>
          <w:bCs/>
          <w:b/>
        </w:rPr>
        <w:t xml:space="preserve">lectura perezosa</w:t>
      </w:r>
      <w:r>
        <w:t xml:space="preserve">, abriendo el archivo con</w:t>
      </w:r>
      <w:r>
        <w:t xml:space="preserve"> </w:t>
      </w:r>
      <w:r>
        <w:rPr>
          <w:rStyle w:val="VerbatimChar"/>
        </w:rPr>
        <w:t xml:space="preserve">rasterio.open()</w:t>
      </w:r>
      <w:r>
        <w:t xml:space="preserve"> </w:t>
      </w:r>
      <w:r>
        <w:t xml:space="preserve">para extraer dimensiones, CRS, resolución y valor de NoData sin materializar la grilla en memoria. Este patrón resulta especialmente pertinente en este proyecto, toda vez que la carga completa de los TIF de RGB de la CGSM provocó previamente el colapso del kernel de Jupyter al intentar usar SamGeo con el backbone vit_h, razón por la cual se optó por el modelo vit_b y por la lectura por ventanas en las verificaciones posteriores.</w:t>
      </w:r>
    </w:p>
    <w:p>
      <w:pPr>
        <w:pStyle w:val="BodyText"/>
      </w:pPr>
      <w:r>
        <w:t xml:space="preserve">En segundo lugar, los GeoJSON resultantes de la segmentación se reproyectan al sistema oficial colombiano</w:t>
      </w:r>
      <w:r>
        <w:t xml:space="preserve"> </w:t>
      </w:r>
      <w:r>
        <w:rPr>
          <w:bCs/>
          <w:b/>
        </w:rPr>
        <w:t xml:space="preserve">MAGNA-SIRGAS Origen Nacional (EPSG:9377)</w:t>
      </w:r>
      <w:r>
        <w:t xml:space="preserve"> </w:t>
      </w:r>
      <w:r>
        <w:t xml:space="preserve">mediante</w:t>
      </w:r>
      <w:r>
        <w:t xml:space="preserve"> </w:t>
      </w:r>
      <w:r>
        <w:rPr>
          <w:rStyle w:val="VerbatimChar"/>
        </w:rPr>
        <w:t xml:space="preserve">rasterio.warp.calculate_default_transform</w:t>
      </w:r>
      <w:r>
        <w:t xml:space="preserve"> </w:t>
      </w:r>
      <w:r>
        <w:t xml:space="preserve">y</w:t>
      </w:r>
      <w:r>
        <w:t xml:space="preserve"> </w:t>
      </w:r>
      <w:r>
        <w:rPr>
          <w:rStyle w:val="VerbatimChar"/>
        </w:rPr>
        <w:t xml:space="preserve">geopandas.to_crs</w:t>
      </w:r>
      <w:r>
        <w:t xml:space="preserve">. Esta reproyección permite que el cálculo del área en hectáreas se realice sobre una proyección equivalente para el territorio colombiano, sustituyendo las aproximaciones esféricas tipo</w:t>
      </w:r>
      <w:r>
        <w:t xml:space="preserve"> </w:t>
      </w:r>
      <m:oMath>
        <m:sSub>
          <m:e>
            <m:r>
              <m:rPr>
                <m:nor/>
                <m:sty m:val="p"/>
              </m:rPr>
              <m:t>area</m:t>
            </m:r>
          </m:e>
          <m:sub>
            <m:r>
              <m:t>d</m:t>
            </m:r>
            <m:r>
              <m:t>e</m:t>
            </m:r>
            <m:r>
              <m:t>g</m:t>
            </m:r>
          </m:sub>
        </m:sSub>
        <m:r>
          <m:rPr>
            <m:sty m:val="p"/>
          </m:rPr>
          <m:t>⋅</m:t>
        </m:r>
        <m:r>
          <m:t>111.000</m:t>
        </m:r>
        <m:r>
          <m:rPr>
            <m:sty m:val="p"/>
          </m:rPr>
          <m:t>⋅</m:t>
        </m:r>
        <m:r>
          <m:rPr>
            <m:sty m:val="p"/>
          </m:rPr>
          <m:t>cos</m:t>
        </m:r>
        <m:d>
          <m:dPr>
            <m:begChr m:val="("/>
            <m:endChr m:val=")"/>
            <m:sepChr m:val=""/>
            <m:grow/>
          </m:dPr>
          <m:e>
            <m:r>
              <m:t>ϕ</m:t>
            </m:r>
          </m:e>
        </m:d>
        <m:r>
          <m:rPr>
            <m:sty m:val="p"/>
          </m:rPr>
          <m:t>⋅</m:t>
        </m:r>
        <m:r>
          <m:t>111.000</m:t>
        </m:r>
      </m:oMath>
      <w:r>
        <w:t xml:space="preserve"> </w:t>
      </w:r>
      <w:r>
        <w:t xml:space="preserve">que se empleaban inicialmente en el script Julia y que solo son exactas en el centro del paisaje. La elección del EPSG:9377 obedece, además, al estándar oficial del IGAC desde la Resolución 471 de 2020, lo que facilita la integración futura del producto con la cartografía base nacional.</w:t>
      </w:r>
    </w:p>
    <w:p>
      <w:pPr>
        <w:pStyle w:val="BodyText"/>
      </w:pPr>
      <w:r>
        <w:t xml:space="preserve">En tercer lugar, sobre los parches reproyectados se aplican dos</w:t>
      </w:r>
      <w:r>
        <w:t xml:space="preserve"> </w:t>
      </w:r>
      <w:r>
        <w:rPr>
          <w:bCs/>
          <w:b/>
        </w:rPr>
        <w:t xml:space="preserve">predicados topológicos DE-9IM</w:t>
      </w:r>
      <w:r>
        <w:t xml:space="preserve">, calculados con</w:t>
      </w:r>
      <w:r>
        <w:t xml:space="preserve"> </w:t>
      </w:r>
      <w:r>
        <w:rPr>
          <w:rStyle w:val="VerbatimChar"/>
        </w:rPr>
        <w:t xml:space="preserve">geopandas</w:t>
      </w:r>
      <w:r>
        <w:t xml:space="preserve"> </w:t>
      </w:r>
      <w:r>
        <w:t xml:space="preserve">y</w:t>
      </w:r>
      <w:r>
        <w:t xml:space="preserve"> </w:t>
      </w:r>
      <w:r>
        <w:rPr>
          <w:rStyle w:val="VerbatimChar"/>
        </w:rPr>
        <w:t xml:space="preserve">shapely</w:t>
      </w:r>
      <w:r>
        <w:t xml:space="preserve"> </w:t>
      </w:r>
      <w:r>
        <w:t xml:space="preserve">que delegan en GEOS los mismos predicados que reconocen PostGIS y JTS. El primer predicado,</w:t>
      </w:r>
      <w:r>
        <w:t xml:space="preserve"> </w:t>
      </w:r>
      <w:r>
        <w:rPr>
          <w:rStyle w:val="VerbatimChar"/>
        </w:rPr>
        <w:t xml:space="preserve">intersects(parche, frontera_AOI)</w:t>
      </w:r>
      <w:r>
        <w:t xml:space="preserve"> </w:t>
      </w:r>
      <w:r>
        <w:t xml:space="preserve">con tolerancia de 30 metros, identifica los parches truncados por el límite del área de estudio, cuya geometría responde más a una decisión cartográfica externa que a la dinámica del manglar; el segundo,</w:t>
      </w:r>
      <w:r>
        <w:t xml:space="preserve"> </w:t>
      </w:r>
      <w:r>
        <w:rPr>
          <w:rStyle w:val="VerbatimChar"/>
        </w:rPr>
        <w:t xml:space="preserve">contains(parche, estacion_INVEMAR)</w:t>
      </w:r>
      <w:r>
        <w:t xml:space="preserve">, evalúa si los parches segmentados envuelven los puntos de muestreo utilizados en el análisis bfast, lo que ofrece una validación cualitativa adicional al F1-score contra GMW.</w:t>
      </w:r>
    </w:p>
    <w:p>
      <w:pPr>
        <w:pStyle w:val="BodyText"/>
      </w:pPr>
      <w:r>
        <w:rPr>
          <w:iCs/>
          <w:i/>
        </w:rPr>
        <w:t xml:space="preserve">El bloque que articula lectura perezosa del raster, reproyección a EPSG:9377 y aplicación de predicados DE-9IM se documenta en el Anexo E, ítem E.2.a.</w:t>
      </w:r>
    </w:p>
    <w:bookmarkEnd w:id="48"/>
    <w:bookmarkStart w:id="49" w:name="forzamiento-climático-era5-land"/>
    <w:p>
      <w:pPr>
        <w:pStyle w:val="Heading2"/>
      </w:pPr>
      <w:r>
        <w:t xml:space="preserve">7.7 Forzamiento climático ERA5-Land</w:t>
      </w:r>
    </w:p>
    <w:p>
      <w:pPr>
        <w:pStyle w:val="FirstParagraph"/>
      </w:pPr>
      <w:r>
        <w:t xml:space="preserve">Para validar cuantitativamente la hipotesis de que la mortandad de manglar de septiembre 2020 estuvo asociada a la fase La Niña 2020–2021, se acopla el reanálisis</w:t>
      </w:r>
      <w:r>
        <w:t xml:space="preserve"> </w:t>
      </w:r>
      <w:r>
        <w:rPr>
          <w:bCs/>
          <w:b/>
        </w:rPr>
        <w:t xml:space="preserve">ERA5-Land</w:t>
      </w:r>
      <w:r>
        <w:t xml:space="preserve"> </w:t>
      </w:r>
      <w:r>
        <w:t xml:space="preserve">del Centro Europeo de Previsiones Meteorológicas a Plazo Medio –ECMWF, Hersbach et al. 2020– como forzante climático sobre las series temporales NDVI calculadas en la Fase 2. La descarga se realiza con</w:t>
      </w:r>
      <w:r>
        <w:t xml:space="preserve"> </w:t>
      </w:r>
      <w:r>
        <w:rPr>
          <w:rStyle w:val="VerbatimChar"/>
        </w:rPr>
        <w:t xml:space="preserve">cdsapi</w:t>
      </w:r>
      <w:r>
        <w:t xml:space="preserve"> </w:t>
      </w:r>
      <w:r>
        <w:t xml:space="preserve">directamente desde el Climate Data Store, solicitando precipitación total y temperatura a dos metros sobre un bounding box que envuelve la CGSM con buffer (11,20 N–10,30 N, 75,05 W–74,05 W) en escala mensual entre 2018 y 2025.</w:t>
      </w:r>
    </w:p>
    <w:p>
      <w:pPr>
        <w:pStyle w:val="BodyText"/>
      </w:pPr>
      <w:r>
        <w:t xml:space="preserve">Los datos se reciben en formato NetCDF con convenciones CF y se cargan con</w:t>
      </w:r>
      <w:r>
        <w:t xml:space="preserve"> </w:t>
      </w:r>
      <w:r>
        <w:rPr>
          <w:rStyle w:val="VerbatimChar"/>
        </w:rPr>
        <w:t xml:space="preserve">xarray.open_dataset(chunks=...)</w:t>
      </w:r>
      <w:r>
        <w:t xml:space="preserve"> </w:t>
      </w:r>
      <w:r>
        <w:t xml:space="preserve">aplicando un patrón de evaluación perezosa: las dimensiones (</w:t>
      </w:r>
      <w:r>
        <w:rPr>
          <w:rStyle w:val="VerbatimChar"/>
        </w:rPr>
        <w:t xml:space="preserve">time</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 y las unidades originales –metros por dia para precipitación, kelvin para temperatura– se decodifican automáticamente, y solo se materializa el resultado final con</w:t>
      </w:r>
      <w:r>
        <w:t xml:space="preserve"> </w:t>
      </w:r>
      <w:r>
        <w:rPr>
          <w:rStyle w:val="VerbatimChar"/>
        </w:rPr>
        <w:t xml:space="preserve">.compute()</w:t>
      </w:r>
      <w:r>
        <w:t xml:space="preserve">. Se calcula la climatología mensual sobre el periodo disponible y la anomalia respecto a esa climatología, se promedia espacialmente sobre el AOI acotado y se cruza con la anomalia NDVI promediada sobre las ocho estaciones para diferentes rezagos temporales –0, 1, 2 y 3 meses– de modo que se identifique el lag optimo entre forzante y respuesta del manglar.</w:t>
      </w:r>
      <w:r>
        <w:t xml:space="preserve"> </w:t>
      </w:r>
      <w:r>
        <w:rPr>
          <w:iCs/>
          <w:i/>
        </w:rPr>
        <w:t xml:space="preserve">La descarga del reanálisis ERA5-Land con</w:t>
      </w:r>
      <w:r>
        <w:rPr>
          <w:iCs/>
          <w:i/>
        </w:rPr>
        <w:t xml:space="preserve"> </w:t>
      </w:r>
      <w:r>
        <w:rPr>
          <w:rStyle w:val="VerbatimChar"/>
          <w:iCs/>
          <w:i/>
        </w:rPr>
        <w:t xml:space="preserve">cdsapi</w:t>
      </w:r>
      <w:r>
        <w:rPr>
          <w:iCs/>
          <w:i/>
        </w:rPr>
        <w:t xml:space="preserve"> </w:t>
      </w:r>
      <w:r>
        <w:rPr>
          <w:iCs/>
          <w:i/>
        </w:rPr>
        <w:t xml:space="preserve">y el cálculo de anomalías mensuales se documentan en el Anexo E, ítem E.3.a.</w:t>
      </w:r>
    </w:p>
    <w:bookmarkEnd w:id="49"/>
    <w:bookmarkStart w:id="50" w:name="X103a6ebd981a9ed289ebd1a44b623f10a366d4d"/>
    <w:p>
      <w:pPr>
        <w:pStyle w:val="Heading2"/>
      </w:pPr>
      <w:r>
        <w:t xml:space="preserve">7.8 Validación cruzada multilingüe con cubo stars en R</w:t>
      </w:r>
    </w:p>
    <w:p>
      <w:pPr>
        <w:pStyle w:val="FirstParagraph"/>
      </w:pPr>
      <w:r>
        <w:t xml:space="preserve">Como contraparte local del flujo Python+GEE de la Fase 2, se construye un</w:t>
      </w:r>
      <w:r>
        <w:t xml:space="preserve"> </w:t>
      </w:r>
      <w:r>
        <w:rPr>
          <w:bCs/>
          <w:b/>
        </w:rPr>
        <w:t xml:space="preserve">cubo stars</w:t>
      </w:r>
      <w:r>
        <w:t xml:space="preserve"> </w:t>
      </w:r>
      <w:r>
        <w:t xml:space="preserve">con los composites trimestrales Sentinel-2 ya descargados. Los TIFs se ordenan cronológicamente y se ensamblan con</w:t>
      </w:r>
      <w:r>
        <w:t xml:space="preserve"> </w:t>
      </w:r>
      <w:r>
        <w:rPr>
          <w:rStyle w:val="VerbatimChar"/>
        </w:rPr>
        <w:t xml:space="preserve">read_stars(tifs, along = list(time = fechas), proxy = TRUE)</w:t>
      </w:r>
      <w:r>
        <w:t xml:space="preserve">, lo que produce un cubo de tres dimensiones –x, y, time– evaluado de manera perezosa hasta que la operación</w:t>
      </w:r>
      <w:r>
        <w:t xml:space="preserve"> </w:t>
      </w:r>
      <w:r>
        <w:rPr>
          <w:rStyle w:val="VerbatimChar"/>
        </w:rPr>
        <w:t xml:space="preserve">st_extract</w:t>
      </w:r>
      <w:r>
        <w:t xml:space="preserve"> </w:t>
      </w:r>
      <w:r>
        <w:t xml:space="preserve">materializa los valores sobre las ocho estaciones de muestreo INVEMAR. La extraccion devuelve una serie temporal por estación, que se exporta como</w:t>
      </w:r>
      <w:r>
        <w:t xml:space="preserve"> </w:t>
      </w:r>
      <w:r>
        <w:rPr>
          <w:rStyle w:val="VerbatimChar"/>
        </w:rPr>
        <w:t xml:space="preserve">series_temporales_stars.csv</w:t>
      </w:r>
      <w:r>
        <w:t xml:space="preserve"> </w:t>
      </w:r>
      <w:r>
        <w:t xml:space="preserve">para comparación contra</w:t>
      </w:r>
      <w:r>
        <w:t xml:space="preserve"> </w:t>
      </w:r>
      <w:r>
        <w:rPr>
          <w:rStyle w:val="VerbatimChar"/>
        </w:rPr>
        <w:t xml:space="preserve">serie_temporal_ndvi_definitiva.csv</w:t>
      </w:r>
      <w:r>
        <w:t xml:space="preserve"> </w:t>
      </w:r>
      <w:r>
        <w:t xml:space="preserve">–la versión producida por</w:t>
      </w:r>
      <w:r>
        <w:t xml:space="preserve"> </w:t>
      </w:r>
      <w:r>
        <w:rPr>
          <w:rStyle w:val="VerbatimChar"/>
        </w:rPr>
        <w:t xml:space="preserve">reduceRegions</w:t>
      </w:r>
      <w:r>
        <w:t xml:space="preserve"> </w:t>
      </w:r>
      <w:r>
        <w:t xml:space="preserve">en GEE–.</w:t>
      </w:r>
    </w:p>
    <w:p>
      <w:pPr>
        <w:pStyle w:val="BodyText"/>
      </w:pPr>
      <w:r>
        <w:t xml:space="preserve">El propósito de este ejercicio no es sustituir el flujo de la nube sino validarlo: si las dos series coinciden con</w:t>
      </w:r>
      <w:r>
        <w:t xml:space="preserve"> </w:t>
      </w:r>
      <m:oMath>
        <m:r>
          <m:t>ρ</m:t>
        </m:r>
        <m:r>
          <m:rPr>
            <m:sty m:val="p"/>
          </m:rPr>
          <m:t>&gt;</m:t>
        </m:r>
        <m:r>
          <m:t>0</m:t>
        </m:r>
        <m:r>
          <m:rPr>
            <m:sty m:val="p"/>
          </m:rPr>
          <m:t>,</m:t>
        </m:r>
        <m:r>
          <m:t>95</m:t>
        </m:r>
      </m:oMath>
      <w:r>
        <w:t xml:space="preserve"> </w:t>
      </w:r>
      <w:r>
        <w:t xml:space="preserve">y RMSE &lt; 0{,}05 unidades NDVI, queda demostrado que la serie temporal del proyecto no depende del entorno computacional ni de la implementacion. Discrepancias mayores indicarian sesgos sistemáticos –diferencias en el enmascaramiento de nubes, en el remuestreo al armar el composite trimestral, o en el manejo de pixeles mixtos en la frontera del buffer de extraccion– que conviene reportar como limitacion metodológica.</w:t>
      </w:r>
      <w:r>
        <w:t xml:space="preserve"> </w:t>
      </w:r>
      <w:r>
        <w:rPr>
          <w:iCs/>
          <w:i/>
        </w:rPr>
        <w:t xml:space="preserve">El bloque de construcción del cubo</w:t>
      </w:r>
      <w:r>
        <w:rPr>
          <w:iCs/>
          <w:i/>
        </w:rPr>
        <w:t xml:space="preserve"> </w:t>
      </w:r>
      <w:r>
        <w:rPr>
          <w:rStyle w:val="VerbatimChar"/>
          <w:iCs/>
          <w:i/>
        </w:rPr>
        <w:t xml:space="preserve">stars</w:t>
      </w:r>
      <w:r>
        <w:rPr>
          <w:iCs/>
          <w:i/>
        </w:rPr>
        <w:t xml:space="preserve"> </w:t>
      </w:r>
      <w:r>
        <w:rPr>
          <w:iCs/>
          <w:i/>
        </w:rPr>
        <w:t xml:space="preserve">en R y la extracción sobre las ocho estaciones se documenta en el Anexo E, ítem E.1.c.</w:t>
      </w:r>
    </w:p>
    <w:bookmarkEnd w:id="50"/>
    <w:bookmarkStart w:id="51" w:name="X2edcffed340f0a7e78cf7a88d39c005ea271e30"/>
    <w:p>
      <w:pPr>
        <w:pStyle w:val="Heading2"/>
      </w:pPr>
      <w:r>
        <w:t xml:space="preserve">7.9 Fase 5: Validación con datos NASA y dashboard</w:t>
      </w:r>
    </w:p>
    <w:p>
      <w:pPr>
        <w:pStyle w:val="FirstParagraph"/>
      </w:pPr>
      <w: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(banda VH, modo IW), comparando el backscatter medio del periodo seco de referencia (enero–marzo 2020, 49 imagenes) contra el periodo de inundación (septiembre–octubre 2020, 36 imagenes). Se aplica un umbral de diferencia de 3 dB para inundación en agua abierta y se identifica inundación bajo dosel de manglar mediante valores negativos de diferencia SAR —donde el aumento del backscatter refleja el scattering de doble rebote caracteristico de la interaccion agua-tronco—.</w:t>
      </w:r>
      <w:r>
        <w:t xml:space="preserve"> </w:t>
      </w:r>
      <w:r>
        <w:rPr>
          <w:iCs/>
          <w:i/>
        </w:rPr>
        <w:t xml:space="preserve">La detección de inundación Sentinel-1 SAR para el evento de septiembre 2020 se documenta en el Anexo E, ítem E.3.b.</w:t>
      </w:r>
    </w:p>
    <w:bookmarkEnd w:id="51"/>
    <w:bookmarkStart w:id="57" w:name="flujo-de-datos"/>
    <w:p>
      <w:pPr>
        <w:pStyle w:val="Heading2"/>
      </w:pPr>
      <w:r>
        <w:t xml:space="preserve">7.10 Flujo de datos</w:t>
      </w:r>
    </w:p>
    <w:tbl>
      <w:tblPr>
        <w:tblStyle w:val="Table"/>
        <w:tblW w:type="pct" w:w="5000"/>
        <w:tblLook w:firstRow="0" w:lastRow="0" w:firstColumn="0" w:lastColumn="0" w:noHBand="0" w:noVBand="0" w:val="0000"/>
        <w:jc w:val="start"/>
        <w:tblLayout w:type="fixed"/>
      </w:tblPr>
      <w:tblGrid>
        <w:gridCol w:w="7920"/>
      </w:tblGrid>
      <w:tr>
        <w:tc>
          <w:tcPr/>
          <w:bookmarkStart w:id="55" w:name="fig-flujo"/>
          <w:p>
            <w:pPr>
              <w:pStyle w:val="Compact"/>
              <w:jc w:val="center"/>
            </w:pPr>
            <w:r>
              <w:drawing>
                <wp:inline>
                  <wp:extent cx="5067300" cy="918669"/>
                  <wp:effectExtent b="0" l="0" r="0" t="0"/>
                  <wp:docPr descr="" title="" id="53" name="Picture"/>
                  <a:graphic>
                    <a:graphicData uri="http://schemas.openxmlformats.org/drawingml/2006/picture">
                      <pic:pic>
                        <pic:nvPicPr>
                          <pic:cNvPr descr="../outputs/figures/flujo_metodologia.png" id="54" name="Picture"/>
                          <pic:cNvPicPr>
                            <a:picLocks noChangeArrowheads="1" noChangeAspect="1"/>
                          </pic:cNvPicPr>
                        </pic:nvPicPr>
                        <pic:blipFill>
                          <a:blip r:embed="rId52"/>
                          <a:stretch>
                            <a:fillRect/>
                          </a:stretch>
                        </pic:blipFill>
                        <pic:spPr bwMode="auto">
                          <a:xfrm>
                            <a:off x="0" y="0"/>
                            <a:ext cx="5067300" cy="918669"/>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Flujo metodológico del proyecto: seis fases secuenciales con validación cruzada entre Python, R y Julia, todas ejecutadas dentro de un contenedor Docker que garantiza la reproducibilidad bit a bit de cada análisis.</w:t>
            </w:r>
          </w:p>
          <w:bookmarkEnd w:id="55"/>
        </w:tc>
      </w:tr>
    </w:tbl>
    <w:p>
      <w:pPr>
        <w:pStyle w:val="BodyText"/>
      </w:pPr>
      <w:r>
        <w:t xml:space="preserve">A nivel operativo, el siguiente cuadro detalla cada paso del flujo con la herramienta concreta, el lenguaje en que se ejecuta, la entrada que consume y la salida que produce:</w:t>
      </w:r>
    </w:p>
    <w:tbl>
      <w:tblPr>
        <w:tblStyle w:val="Table"/>
        <w:tblW w:type="pct" w:w="5000"/>
        <w:tblLook w:firstRow="0" w:lastRow="0" w:firstColumn="0" w:lastColumn="0" w:noHBand="0" w:noVBand="0" w:val="0000"/>
        <w:jc w:val="start"/>
        <w:tblLayout w:type="fixed"/>
      </w:tblPr>
      <w:tblGrid>
        <w:gridCol w:w="7920"/>
      </w:tblGrid>
      <w:tr>
        <w:tc>
          <w:tcPr/>
          <w:bookmarkStart w:id="56" w:name="tbl-flujo"/>
          <w:p>
            <w:pPr>
              <w:jc w:val="center"/>
            </w:pPr>
            <w:pPr>
              <w:jc w:val="start"/>
              <w:spacing w:before="200"/>
              <w:pStyle w:val="ImageCaption"/>
            </w:pPr>
            <w:r>
              <w:t xml:space="preserve">Tabla 4: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Stacks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Indices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Topologia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parches_topologia (.csv)</w:t>
                  </w:r>
                </w:p>
              </w:tc>
            </w:tr>
            <w:tr>
              <w:tc>
                <w:tcPr/>
                <w:p>
                  <w:pPr>
                    <w:pStyle w:val="Compact"/>
                    <w:jc w:val="left"/>
                    <w:jc w:val="center"/>
                  </w:pPr>
                  <w:r>
                    <w:t xml:space="preserve">5. Inundacion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humedo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Anomalias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multilingue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Semaforo estaciones (.csv) y mapa (.png)</w:t>
                  </w:r>
                </w:p>
              </w:tc>
            </w:tr>
          </w:tbl>
          <w:bookmarkEnd w:id="56"/>
          <w:p/>
        </w:tc>
      </w:tr>
    </w:tbl>
    <w:bookmarkEnd w:id="57"/>
    <w:bookmarkStart w:id="59" w:name="entorno-de-ejecución"/>
    <w:p>
      <w:pPr>
        <w:pStyle w:val="Heading2"/>
      </w:pPr>
      <w:r>
        <w:t xml:space="preserve">7.11 Entorno de ejecución</w:t>
      </w:r>
    </w:p>
    <w:tbl>
      <w:tblPr>
        <w:tblStyle w:val="Table"/>
        <w:tblW w:type="pct" w:w="5000"/>
        <w:tblLook w:firstRow="0" w:lastRow="0" w:firstColumn="0" w:lastColumn="0" w:noHBand="0" w:noVBand="0" w:val="0000"/>
        <w:jc w:val="start"/>
        <w:tblLayout w:type="fixed"/>
      </w:tblPr>
      <w:tblGrid>
        <w:gridCol w:w="7920"/>
      </w:tblGrid>
      <w:tr>
        <w:tc>
          <w:tcPr/>
          <w:bookmarkStart w:id="58" w:name="tbl-entorno"/>
          <w:p>
            <w:pPr>
              <w:jc w:val="center"/>
            </w:pPr>
            <w:pPr>
              <w:jc w:val="start"/>
              <w:spacing w:before="200"/>
              <w:pStyle w:val="ImageCaption"/>
            </w:pPr>
            <w:r>
              <w:t xml:space="preserve">Tabla 5: Entorno de ejecución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Especificacion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Geocomputacion en la nube</w:t>
                  </w:r>
                </w:p>
              </w:tc>
              <w:tc>
                <w:tcPr/>
                <w:p>
                  <w:pPr>
                    <w:pStyle w:val="Compact"/>
                    <w:jc w:val="left"/>
                    <w:jc w:val="center"/>
                  </w:pPr>
                  <w:r>
                    <w:t xml:space="preserve">Google Earth Engine (API Python)</w:t>
                  </w:r>
                </w:p>
              </w:tc>
            </w:tr>
          </w:tbl>
          <w:bookmarkEnd w:id="58"/>
          <w:p/>
        </w:tc>
      </w:tr>
    </w:tbl>
    <w:bookmarkEnd w:id="59"/>
    <w:bookmarkEnd w:id="60"/>
    <w:bookmarkStart w:id="139" w:name="resultados-y-discusión"/>
    <w:p>
      <w:pPr>
        <w:pStyle w:val="Heading1"/>
      </w:pPr>
      <w:r>
        <w:t xml:space="preserve">8. Resultados y discusión</w:t>
      </w:r>
    </w:p>
    <w:bookmarkStart w:id="66" w:name="X07dd460b134645390ee5afe9993fe279525b482"/>
    <w:p>
      <w:pPr>
        <w:pStyle w:val="Heading2"/>
      </w:pPr>
      <w:r>
        <w:t xml:space="preserve">8.1 Series temporales de NDVI y detección de anomalias</w:t>
      </w:r>
    </w:p>
    <w:p>
      <w:pPr>
        <w:pStyle w:val="FirstParagraph"/>
      </w:pPr>
      <w:r>
        <w:t xml:space="preserve">El análisis de series temporales de NDVI para las 8 estaciones de monitoreo revelo 18 anomalias significativas (z &lt; -2) durante el periodo 2013–2025. El evento de septiembre de 2020 se identifico como la perturbacion de mayor magnitud, con valores negativos de NDVI en Punta Cerro (-0,078; z = -2,46) e Isla Boqueron (-0,018; z = -3,36), coincidente con el inicio de La Niña 2020–2021 que provoco inundaciónes prolongadas en el sistema lagunar. Un segundo cluster de anomalias se concentro en marzo de 2018, afectando las estaciones occidentales —Caño Clarín (0,166; z = -3,15) y CP Aguas Negras (0,203; z = -2,50)—, probablemente asociado a condiciones de hipersalinización en epoca seca. La extensión de la serie con Landsat 8 revelo 4 anomalias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mostro la menor (std = 0,078), lo cual es consistente con su ubicacion protegida en el borde suroriental del sistema. Con base en estos hallazgos se seleccionaron tres periodos de referencia para la segmentación: degradación (julio–diciembre 2020), recuperación (enero–junio 2022) y estado actual (julio 2024 a junio 2025). La definicion de estos tres bloques temporales obedece a una lógica de muestreo de estados estables del sistema antes que a una serie continua: cada periodo cubre una ventana de seis a doce meses elegida para representar una fase fenológica caracteristica posterior a la disipacion de la perturbacion prevía, de modo que el composite resultante refleja un estado estructural y no un transitorio. El periodo</w:t>
      </w:r>
      <w:r>
        <w:t xml:space="preserve"> </w:t>
      </w:r>
      <w:r>
        <w:t xml:space="preserve">“</w:t>
      </w:r>
      <w:r>
        <w:t xml:space="preserve">actual</w:t>
      </w:r>
      <w:r>
        <w:t xml:space="preserve">”</w:t>
      </w:r>
      <w:r>
        <w:t xml:space="preserve"> </w:t>
      </w:r>
      <w:r>
        <w:t xml:space="preserve">cubre un unico año hidrológico (julio 2024 a junio 2025) en lugar de un horizonte más amplio porque la ventana se selecciono para capturar el estado vigente del sistema al cierre del proyecto sin contaminar el composite con eventos La Niña 2023–2024 que afectaron parcialmente al Caribe colombiano; en consecuencia, los resultados sobre este periodo deben interpretarse como un snapshot del estado actual y no como una tendencia anualizada, coherente con la lógica de Bunting et al. (2022), quienes trabajan con épocas discretas y no con series temporales continuas para reportar extensión de manglar.</w:t>
      </w:r>
    </w:p>
    <w:tbl>
      <w:tblPr>
        <w:tblStyle w:val="Table"/>
        <w:tblW w:type="pct" w:w="5000"/>
        <w:tblLook w:firstRow="0" w:lastRow="0" w:firstColumn="0" w:lastColumn="0" w:noHBand="0" w:noVBand="0" w:val="0000"/>
        <w:jc w:val="start"/>
        <w:tblLayout w:type="fixed"/>
      </w:tblPr>
      <w:tblGrid>
        <w:gridCol w:w="7920"/>
      </w:tblGrid>
      <w:tr>
        <w:tc>
          <w:tcPr/>
          <w:bookmarkStart w:id="61" w:name="tbl-anomalias"/>
          <w:p>
            <w:pPr>
              <w:jc w:val="center"/>
            </w:pPr>
            <w:pPr>
              <w:jc w:val="start"/>
              <w:spacing w:before="200"/>
              <w:pStyle w:val="ImageCaption"/>
            </w:pPr>
            <w:r>
              <w:t xml:space="preserve">Tabla 6: Anomalias significativas de NDVI (z &lt; -2) en la serie combinada 2013–2025.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61"/>
          <w:p/>
        </w:tc>
      </w:tr>
    </w:tbl>
    <w:p>
      <w:pPr>
        <w:pStyle w:val="BodyText"/>
      </w:pPr>
      <w:r>
        <w:t xml:space="preserve">La construcción del datacube trimestral CF-1.8 sobre el AOI acotado —ver tabla</w:t>
      </w:r>
      <w:r>
        <w:t xml:space="preserve"> </w:t>
      </w:r>
      <w:hyperlink w:anchor="tbl-cubos">
        <w:r>
          <w:rPr>
            <w:rStyle w:val="Hyperlink"/>
          </w:rPr>
          <w:t xml:space="preserve">tabla 3</w:t>
        </w:r>
      </w:hyperlink>
      <w:r>
        <w:t xml:space="preserve">—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t xml:space="preserve">), de modo que la dinámica observada deja de estar diluida por el agua, las salinas y los arenales que también ocupan el polígono. El resultado, presentado en la figura</w:t>
      </w:r>
      <w:r>
        <w:t xml:space="preserve"> </w:t>
      </w:r>
      <w:hyperlink w:anchor="fig-ndvi-manglar">
        <w:r>
          <w:rPr>
            <w:rStyle w:val="Hyperlink"/>
          </w:rPr>
          <w:t xml:space="preserve">figura 4</w:t>
        </w:r>
      </w:hyperlink>
      <w: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Style w:val="Table"/>
        <w:tblW w:type="pct" w:w="5000"/>
        <w:tblLook w:firstRow="0" w:lastRow="0" w:firstColumn="0" w:lastColumn="0" w:noHBand="0" w:noVBand="0" w:val="0000"/>
        <w:jc w:val="start"/>
        <w:tblLayout w:type="fixed"/>
      </w:tblPr>
      <w:tblGrid>
        <w:gridCol w:w="7920"/>
      </w:tblGrid>
      <w:tr>
        <w:tc>
          <w:tcPr/>
          <w:bookmarkStart w:id="65" w:name="fig-ndvi-manglar"/>
          <w:p>
            <w:pPr>
              <w:pStyle w:val="Compact"/>
              <w:jc w:val="center"/>
            </w:pPr>
            <w:r>
              <w:drawing>
                <wp:inline>
                  <wp:extent cx="4800600" cy="1931250"/>
                  <wp:effectExtent b="0" l="0" r="0" t="0"/>
                  <wp:docPr descr="" title="" id="63" name="Picture"/>
                  <a:graphic>
                    <a:graphicData uri="http://schemas.openxmlformats.org/drawingml/2006/picture">
                      <pic:pic>
                        <pic:nvPicPr>
                          <pic:cNvPr descr="../outputs/figures/ndvi_mediano_manglar_acotado.png" id="64" name="Picture"/>
                          <pic:cNvPicPr>
                            <a:picLocks noChangeArrowheads="1" noChangeAspect="1"/>
                          </pic:cNvPicPr>
                        </pic:nvPicPr>
                        <pic:blipFill>
                          <a:blip r:embed="rId62"/>
                          <a:stretch>
                            <a:fillRect/>
                          </a:stretch>
                        </pic:blipFill>
                        <pic:spPr bwMode="auto">
                          <a:xfrm>
                            <a:off x="0" y="0"/>
                            <a:ext cx="4800600" cy="193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Serie temporal del NDVI mediaño del manglar sobre AOI acotado (SFF CGSM + VPI Salamanca, 835 km²) entre 2018 y 2025, calculada a partir del datacube trimestral CF-1.8 restringida a píxeles con</w:t>
            </w:r>
            <w:r>
              <w:t xml:space="preserve"> </w:t>
            </w:r>
            <m:oMath>
              <m:r>
                <m:t>N</m:t>
              </m:r>
              <m:r>
                <m:t>D</m:t>
              </m:r>
              <m:r>
                <m:t>V</m:t>
              </m:r>
              <m:r>
                <m:t>I</m:t>
              </m:r>
              <m:r>
                <m:rPr>
                  <m:sty m:val="p"/>
                </m:rPr>
                <m:t>&gt;</m:t>
              </m:r>
              <m:r>
                <m:t>0</m:t>
              </m:r>
              <m:r>
                <m:rPr>
                  <m:sty m:val="p"/>
                </m:rPr>
                <m:t>,</m:t>
              </m:r>
              <m:r>
                <m:t>4</m:t>
              </m:r>
            </m:oMath>
            <w:r>
              <w:t xml:space="preserve">. Las franjas sombreadas marcan los tres periodos de referencia de la segmentación; la caída de 2019–2020 coincide con la sequía y el episodio La Niña que sostienen la narrativa del informe.</w:t>
            </w:r>
          </w:p>
          <w:bookmarkEnd w:id="65"/>
        </w:tc>
      </w:tr>
    </w:tbl>
    <w:bookmarkEnd w:id="66"/>
    <w:bookmarkStart w:id="68" w:name="análisis-bfast-serie-combinada-20132025"/>
    <w:p>
      <w:pPr>
        <w:pStyle w:val="Heading2"/>
      </w:pPr>
      <w:r>
        <w:t xml:space="preserve">8.2 Análisis bfast (serie combinada 2013–2025)</w:t>
      </w:r>
    </w:p>
    <w:p>
      <w:pPr>
        <w:pStyle w:val="FirstParagraph"/>
      </w:pPr>
      <w:r>
        <w:t xml:space="preserve">La aplicación de bfast sobre las series mensuales de NDVI combinadas Landsat 8 + Sentinel-2 (2013–2025, 12 años) detecto quiebres estructurales en 7 de las 8 estaciones con h = 0,15 y en las 8 estaciones con h = 0,10. Este resultado contrasta con el análisis previo basado unicamente en Sentinel-2 (2018–2025, 7 años), que no detecto 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ano—, coincidente con el evento El Niño 2015–2016, uno de los más intensos registrados, que provoco sequias prolongadas y estres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presento un segundo quiebre en 2022, posiblemente asociado a la recuperación post-La Niña 2020–2021.</w:t>
      </w:r>
    </w:p>
    <w:tbl>
      <w:tblPr>
        <w:tblStyle w:val="Table"/>
        <w:tblW w:type="pct" w:w="5000"/>
        <w:tblLook w:firstRow="0" w:lastRow="0" w:firstColumn="0" w:lastColumn="0" w:noHBand="0" w:noVBand="0" w:val="0000"/>
        <w:jc w:val="start"/>
        <w:tblLayout w:type="fixed"/>
      </w:tblPr>
      <w:tblGrid>
        <w:gridCol w:w="7920"/>
      </w:tblGrid>
      <w:tr>
        <w:tc>
          <w:tcPr/>
          <w:bookmarkStart w:id="67" w:name="tbl-bfast"/>
          <w:p>
            <w:pPr>
              <w:jc w:val="center"/>
            </w:pPr>
            <w:pPr>
              <w:jc w:val="start"/>
              <w:spacing w:before="200"/>
              <w:pStyle w:val="ImageCaption"/>
            </w:pPr>
            <w:r>
              <w:t xml:space="preserve">Tabla 7: Quiebres estructurales detectados por bfast en la serie NDVI combinada (2013–2025).</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67"/>
          <w:p/>
        </w:tc>
      </w:tr>
    </w:tbl>
    <w:bookmarkEnd w:id="68"/>
    <w:bookmarkStart w:id="70" w:name="Xc83a26e2c8becf6137faec9382e4dddefb99217"/>
    <w:p>
      <w:pPr>
        <w:pStyle w:val="Heading2"/>
      </w:pPr>
      <w:r>
        <w:t xml:space="preserve">8.3 Análisis bfast unificado sobre las cuatro estaciones de manglar real (2018–2025)</w:t>
      </w:r>
    </w:p>
    <w:p>
      <w:pPr>
        <w:pStyle w:val="FirstParagraph"/>
      </w:pPr>
      <w:r>
        <w:t xml:space="preserve">El análisis bfast presentado en la tabla</w:t>
      </w:r>
      <w:r>
        <w:t xml:space="preserve"> </w:t>
      </w:r>
      <w:hyperlink w:anchor="tbl-bfast">
        <w:r>
          <w:rPr>
            <w:rStyle w:val="Hyperlink"/>
          </w:rPr>
          <w:t xml:space="preserve">tabla 7</w:t>
        </w:r>
      </w:hyperlink>
      <w:r>
        <w:t xml:space="preserve"> </w:t>
      </w:r>
      <w:r>
        <w:t xml:space="preserve">se calcula sobre las ocho estaciones de muestreo originales del proyecto, las cuales incluyen tanto estaciones que monitorean cobertura de manglar denso como estaciones limnológicas ubicadas sobre la lámina de agua del complejo lagunar central. La clasificación introducida en la tabla</w:t>
      </w:r>
      <w:r>
        <w:t xml:space="preserve"> </w:t>
      </w:r>
      <w:hyperlink w:anchor="tbl-clasif-estaciones">
        <w:r>
          <w:rPr>
            <w:rStyle w:val="Hyperlink"/>
          </w:rPr>
          <w:t xml:space="preserve">tabla 11</w:t>
        </w:r>
      </w:hyperlink>
      <w:r>
        <w:t xml:space="preserve"> </w:t>
      </w:r>
      <w:r>
        <w:t xml:space="preserve">demuestra que esas dos naturalezas espectrales responden a forzantes climáticos con signos opuestos —ver tabla</w:t>
      </w:r>
      <w:r>
        <w:t xml:space="preserve"> </w:t>
      </w:r>
      <w:hyperlink w:anchor="tbl-era5">
        <w:r>
          <w:rPr>
            <w:rStyle w:val="Hyperlink"/>
          </w:rPr>
          <w:t xml:space="preserve">tabla 12</w:t>
        </w:r>
      </w:hyperlink>
      <w: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t xml:space="preserve"> </w:t>
      </w:r>
      <w:hyperlink w:anchor="tbl-bfast-unificado">
        <w:r>
          <w:rPr>
            <w:rStyle w:val="Hyperlink"/>
          </w:rPr>
          <w:t xml:space="preserve">tabla 8</w:t>
        </w:r>
      </w:hyperlink>
      <w:r>
        <w:t xml:space="preserve"> </w:t>
      </w:r>
      <w:r>
        <w:t xml:space="preserve">reporta el resultado de esta evaluación.</w:t>
      </w:r>
    </w:p>
    <w:tbl>
      <w:tblPr>
        <w:tblStyle w:val="Table"/>
        <w:tblW w:type="pct" w:w="5000"/>
        <w:tblLook w:firstRow="0" w:lastRow="0" w:firstColumn="0" w:lastColumn="0" w:noHBand="0" w:noVBand="0" w:val="0000"/>
        <w:jc w:val="start"/>
        <w:tblLayout w:type="fixed"/>
      </w:tblPr>
      <w:tblGrid>
        <w:gridCol w:w="7920"/>
      </w:tblGrid>
      <w:tr>
        <w:tc>
          <w:tcPr/>
          <w:bookmarkStart w:id="69" w:name="tbl-bfast-unificado"/>
          <w:p>
            <w:pPr>
              <w:jc w:val="center"/>
            </w:pPr>
            <w:pPr>
              <w:jc w:val="start"/>
              <w:spacing w:before="200"/>
              <w:pStyle w:val="ImageCaption"/>
            </w:pPr>
            <w:r>
              <w:t xml:space="preserve">Tabla 8: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69"/>
          <w:p/>
        </w:tc>
      </w:tr>
    </w:tbl>
    <w:p>
      <w:pPr>
        <w:pStyle w:val="BodyText"/>
      </w:pPr>
      <w: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t xml:space="preserve"> </w:t>
      </w:r>
      <w:hyperlink w:anchor="fig-enso-serie">
        <w:r>
          <w:rPr>
            <w:rStyle w:val="Hyperlink"/>
          </w:rPr>
          <w:t xml:space="preserve">figura 5</w:t>
        </w:r>
      </w:hyperlink>
      <w: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70"/>
    <w:bookmarkStart w:id="71" w:name="Xa158233c03487fef3378cd7220430a1cfa6c01d"/>
    <w:p>
      <w:pPr>
        <w:pStyle w:val="Heading2"/>
      </w:pPr>
      <w:r>
        <w:t xml:space="preserve">8.4 Segmentación y dinámica de cobertura sobre el AOI acotado</w:t>
      </w:r>
    </w:p>
    <w:p>
      <w:pPr>
        <w:pStyle w:val="FirstParagraph"/>
      </w:pPr>
      <w:r>
        <w:t xml:space="preserve">La segmentación con SamGeo (vit_b, 30 m) sobre los composites RGB recortados al AOI acotado constituye la fuente principal de los resultados de cobertura y fragmentacion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decision metodológica de reportar resultados sobre el AOI acotado obedece a que la inclusión de vegetación riberana, salitral y zonas agropecuarias en el AOI envolvente inflaba sistemáticamente las cifras de manglar potencial y comprometia la comparabilidad con la cartografía oficial de manglares de Colombia (INVEMAR, 2020) y con el Global Mangrove Watch (Bunting et al., 2022), referencias que tambien se acotan al humedal propiamente dicho.</w:t>
      </w:r>
    </w:p>
    <w:bookmarkEnd w:id="71"/>
    <w:bookmarkStart w:id="74" w:name="X38e297e02238021cc145ce8710612d37d8ceffe"/>
    <w:p>
      <w:pPr>
        <w:pStyle w:val="Heading2"/>
      </w:pPr>
      <w:r>
        <w:t xml:space="preserve">8.5 Recalculo en EPSG:9377 y análisis topológico de parches</w:t>
      </w:r>
    </w:p>
    <w:p>
      <w:pPr>
        <w:pStyle w:val="FirstParagraph"/>
      </w:pPr>
      <w:r>
        <w:t xml:space="preserve">La reproyección de los GeoJSON al sistema oficial colombiano y la consecuente sustitución de la aproximación esférica por el cálculo directo del área en metros redefine las cifras de cobertura por periodo, de modo que las hectáreas reportadas a continuación corresponden a una proyección equivalente y son comparables con la cartografía base del IGAC. Sobre el AOI acotado, las métricas de fragmentación reportadas en la tabla</w:t>
      </w:r>
      <w:r>
        <w:t xml:space="preserve"> </w:t>
      </w:r>
      <w:hyperlink w:anchor="tbl-fragmentacion-acotado">
        <w:r>
          <w:rPr>
            <w:rStyle w:val="Hyperlink"/>
          </w:rPr>
          <w:t xml:space="preserve">tabla 9</w:t>
        </w:r>
      </w:hyperlink>
      <w:r>
        <w:t xml:space="preserve"> </w:t>
      </w:r>
      <w:r>
        <w:t xml:space="preserve">describen una secuencia de</w:t>
      </w:r>
      <w:r>
        <w:t xml:space="preserve"> </w:t>
      </w:r>
      <w:r>
        <w:rPr>
          <w:bCs/>
          <w:b/>
        </w:rPr>
        <w:t xml:space="preserve">contracción de área clasificada</w:t>
      </w:r>
      <w:r>
        <w:t xml:space="preserve"> </w:t>
      </w:r>
      <w:r>
        <w:t xml:space="preserve">con simultánea</w:t>
      </w:r>
      <w:r>
        <w:t xml:space="preserve"> </w:t>
      </w:r>
      <w:r>
        <w:rPr>
          <w:bCs/>
          <w:b/>
        </w:rPr>
        <w:t xml:space="preserve">consolidación estructural</w:t>
      </w:r>
      <w:r>
        <w:t xml:space="preserve">: el número de parches en el rango filtrado 1–5.000 ha disminuye de 79 en el periodo de degradación a 38 en el de recuperación y a 15 en el actual, en tanto que el área total clasificada como manglar pasa de 12.425,6 a 8.650,8 y a 4.037,0 hectáreas en los mismos cortes. El área media de parche, en contraste, crece de 157,3 a 269,1 hectáreas,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Style w:val="Table"/>
        <w:tblW w:type="pct" w:w="5000"/>
        <w:tblLook w:firstRow="0" w:lastRow="0" w:firstColumn="0" w:lastColumn="0" w:noHBand="0" w:noVBand="0" w:val="0000"/>
        <w:jc w:val="start"/>
        <w:tblLayout w:type="fixed"/>
      </w:tblPr>
      <w:tblGrid>
        <w:gridCol w:w="7920"/>
      </w:tblGrid>
      <w:tr>
        <w:tc>
          <w:tcPr/>
          <w:bookmarkStart w:id="72" w:name="tbl-fragmentacion-acotado"/>
          <w:p>
            <w:pPr>
              <w:jc w:val="center"/>
            </w:pPr>
            <w:pPr>
              <w:jc w:val="start"/>
              <w:spacing w:before="200"/>
              <w:pStyle w:val="ImageCaption"/>
            </w:pPr>
            <w:r>
              <w:t xml:space="preserve">Tabla 9: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72"/>
          <w:p/>
        </w:tc>
      </w:tr>
    </w:tbl>
    <w:p>
      <w:pPr>
        <w:pStyle w:val="BodyText"/>
      </w:pPr>
      <w:r>
        <w:t xml:space="preserve">Antes de interpretar las cifras conviene aclarar el alcance temporal de cada periodo de referencia: la</w:t>
      </w:r>
      <w:r>
        <w:t xml:space="preserve"> </w:t>
      </w:r>
      <w:r>
        <w:rPr>
          <w:bCs/>
          <w:b/>
        </w:rPr>
        <w:t xml:space="preserve">degradación</w:t>
      </w:r>
      <w:r>
        <w:t xml:space="preserve"> </w:t>
      </w:r>
      <w:r>
        <w:t xml:space="preserve">corresponde al semestre julio–diciembre de 2020 y captura la respuesta espectral del manglar durante el evento humanitario de mortandad asociado a La Niña; la</w:t>
      </w:r>
      <w:r>
        <w:t xml:space="preserve"> </w:t>
      </w:r>
      <w:r>
        <w:rPr>
          <w:bCs/>
          <w:b/>
        </w:rPr>
        <w:t xml:space="preserve">recuperación</w:t>
      </w:r>
      <w:r>
        <w:t xml:space="preserve"> </w:t>
      </w:r>
      <w:r>
        <w:t xml:space="preserve">corresponde al semestre enero–junio de 2022 y captura la fase de regeneracion temprana documentada por INVEMAR (2024); el periodo</w:t>
      </w:r>
      <w:r>
        <w:t xml:space="preserve"> </w:t>
      </w:r>
      <w:r>
        <w:rPr>
          <w:bCs/>
          <w:b/>
        </w:rPr>
        <w:t xml:space="preserve">actual</w:t>
      </w:r>
      <w:r>
        <w:t xml:space="preserve"> </w:t>
      </w:r>
      <w:r>
        <w:t xml:space="preserve">corresponde al ciclo anual julio 2024 a junio 2025 y constituye un</w:t>
      </w:r>
      <w:r>
        <w:t xml:space="preserve"> </w:t>
      </w:r>
      <w:r>
        <w:rPr>
          <w:iCs/>
          <w:i/>
        </w:rPr>
        <w:t xml:space="preserve">snapshot</w:t>
      </w:r>
      <w:r>
        <w:t xml:space="preserve"> </w:t>
      </w:r>
      <w: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consideracion metodológica matiza las inferencias sobre cambio neto que se discuten a continuacion.</w:t>
      </w:r>
    </w:p>
    <w:p>
      <w:pPr>
        <w:pStyle w:val="BodyText"/>
      </w:pPr>
      <w:r>
        <w:t xml:space="preserve">Conviene precisar que la contracción del área clasificada por umbrales no equivale, por sí sola, a pérdida de cobertura del manglar; en efecto, la figura</w:t>
      </w:r>
      <w:r>
        <w:t xml:space="preserve"> </w:t>
      </w:r>
      <w:hyperlink w:anchor="fig-ndvi-cambio">
        <w:r>
          <w:rPr>
            <w:rStyle w:val="Hyperlink"/>
          </w:rPr>
          <w:t xml:space="preserve">figura 2</w:t>
        </w:r>
      </w:hyperlink>
      <w:r>
        <w:t xml:space="preserve"> </w:t>
      </w:r>
      <w:r>
        <w:t xml:space="preserve">—calculada directamente sobre el datacube trimestral CF-1.8 como diferencia de NDVI mediano entre el periodo actual y el de degradación— muestra que la mayor parte del AOI acotado presenta tonos azules consistentes con</w:t>
      </w:r>
      <w:r>
        <w:t xml:space="preserve"> </w:t>
      </w:r>
      <w:r>
        <w:rPr>
          <w:bCs/>
          <w:b/>
        </w:rPr>
        <w:t xml:space="preserve">ganancia de vigor vegetativo</w:t>
      </w:r>
      <w:r>
        <w:t xml:space="preserve"> </w:t>
      </w:r>
      <w: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t xml:space="preserve">El análisis topológico complementa estas cifras con dos lecturas adicionales sobre los mismos parches. La aplicación del predicado</w:t>
      </w:r>
      <w:r>
        <w:t xml:space="preserve"> </w:t>
      </w:r>
      <w:r>
        <w:rPr>
          <w:rStyle w:val="VerbatimChar"/>
        </w:rPr>
        <w:t xml:space="preserve">intersects</w:t>
      </w:r>
      <w:r>
        <w:t xml:space="preserve"> </w:t>
      </w:r>
      <w:r>
        <w:t xml:space="preserve">entre cada parche y la frontera del AOI con una tolerancia de 30 metros identifico una proporcion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limite cartográfico del AOI, de modo que sus métricas de fragmentacion globales reflejan tambien el efecto del recorte. La aplicación del predicado</w:t>
      </w:r>
      <w:r>
        <w:t xml:space="preserve"> </w:t>
      </w:r>
      <w:r>
        <w:rPr>
          <w:rStyle w:val="VerbatimChar"/>
        </w:rPr>
        <w:t xml:space="preserve">contains</w:t>
      </w:r>
      <w:r>
        <w:t xml:space="preserve"> </w:t>
      </w:r>
      <w:r>
        <w:t xml:space="preserve">con los ocho puntos de monitoreo no devolvio parches que envolvieran las estaciones bajo el filtro de tamano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tbl>
      <w:tblPr>
        <w:tblStyle w:val="Table"/>
        <w:tblW w:type="pct" w:w="5000"/>
        <w:tblLook w:firstRow="0" w:lastRow="0" w:firstColumn="0" w:lastColumn="0" w:noHBand="0" w:noVBand="0" w:val="0000"/>
        <w:jc w:val="start"/>
        <w:tblLayout w:type="fixed"/>
      </w:tblPr>
      <w:tblGrid>
        <w:gridCol w:w="7920"/>
      </w:tblGrid>
      <w:tr>
        <w:tc>
          <w:tcPr/>
          <w:bookmarkStart w:id="73" w:name="tbl-topológia-acotado"/>
          <w:p>
            <w:pPr>
              <w:jc w:val="center"/>
            </w:pPr>
            <w:pPr>
              <w:jc w:val="start"/>
              <w:spacing w:before="200"/>
              <w:pStyle w:val="ImageCaption"/>
            </w:pPr>
            <w:r>
              <w:t xml:space="preserve">Tabla 10: Parches de manglar truncados por la frontera del AOI acotado (predicado DE-9IM</w:t>
            </w:r>
            <w:r>
              <w:t xml:space="preserve"> </w:t>
            </w:r>
            <w:r>
              <w:rPr>
                <w:rStyle w:val="VerbatimChar"/>
              </w:rPr>
              <w:t xml:space="preserve">intersects</w:t>
            </w:r>
            <w:r>
              <w:t xml:space="preserve"> </w:t>
            </w:r>
            <w:r>
              <w:t xml:space="preserve">con tolerancia de 30 m). Los parches se cuentan agregados como features completos en</w:t>
            </w:r>
            <w:r>
              <w:t xml:space="preserve"> </w:t>
            </w:r>
            <w:r>
              <w:rPr>
                <w:rStyle w:val="VerbatimChar"/>
              </w:rPr>
              <w:t xml:space="preserve">geopandas</w:t>
            </w:r>
            <w: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Area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73"/>
          <w:p/>
        </w:tc>
      </w:tr>
    </w:tbl>
    <w:p>
      <w:pPr>
        <w:pStyle w:val="BodyText"/>
      </w:pPr>
      <w: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hectárea –predicado DE-9IM</w:t>
      </w:r>
      <w:r>
        <w:t xml:space="preserve"> </w:t>
      </w:r>
      <w:r>
        <w:rPr>
          <w:rStyle w:val="VerbatimChar"/>
        </w:rPr>
        <w:t xml:space="preserve">contains</w:t>
      </w:r>
      <w: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74"/>
    <w:bookmarkStart w:id="76" w:name="Xa1e6b85eca4295dcf098131609cba2224fef6d1"/>
    <w:p>
      <w:pPr>
        <w:pStyle w:val="Heading2"/>
      </w:pPr>
      <w:r>
        <w:t xml:space="preserve">8.6 Clasificación de las ocho estaciones por naturaleza espectral</w:t>
      </w:r>
    </w:p>
    <w:p>
      <w:pPr>
        <w:pStyle w:val="FirstParagraph"/>
      </w:pPr>
      <w: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t xml:space="preserve"> </w:t>
      </w:r>
      <w:hyperlink w:anchor="tbl-clasif-estaciones">
        <w:r>
          <w:rPr>
            <w:rStyle w:val="Hyperlink"/>
          </w:rPr>
          <w:t xml:space="preserve">tabla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75" w:name="tbl-clasif-estaciones"/>
          <w:p>
            <w:pPr>
              <w:jc w:val="center"/>
            </w:pPr>
            <w:pPr>
              <w:jc w:val="start"/>
              <w:spacing w:before="200"/>
              <w:pStyle w:val="ImageCaption"/>
            </w:pPr>
            <w:r>
              <w:t xml:space="preserve">Tabla 11: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Isla_Boqueron,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75"/>
          <w:p/>
        </w:tc>
      </w:tr>
    </w:tbl>
    <w:p>
      <w:pPr>
        <w:pStyle w:val="BodyText"/>
      </w:pPr>
      <w: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forzantes climáticos —ERA5, ENSO, caudal, CHIRPS— debe desagregarse por naturaleza espectral antes de promediar; el promedio agregado de las ocho cancela las dos señales y produce</w:t>
      </w:r>
      <w:r>
        <w:t xml:space="preserve"> </w:t>
      </w:r>
      <m:oMath>
        <m:d>
          <m:dPr>
            <m:begChr m:val="|"/>
            <m:endChr m:val="|"/>
            <m:sepChr m:val=""/>
            <m:grow/>
          </m:dPr>
          <m:e>
            <m:r>
              <m:t>ρ</m:t>
            </m:r>
          </m:e>
        </m:d>
        <m:r>
          <m:rPr>
            <m:sty m:val="p"/>
          </m:rPr>
          <m:t>&lt;</m:t>
        </m:r>
        <m:r>
          <m:t>0</m:t>
        </m:r>
        <m:r>
          <m:rPr>
            <m:sty m:val="p"/>
          </m:rPr>
          <m:t>,</m:t>
        </m:r>
        <m:r>
          <m:t>12</m:t>
        </m:r>
      </m:oMath>
      <w:r>
        <w:t xml:space="preserve"> </w:t>
      </w:r>
      <w:r>
        <w:t xml:space="preserve">engañosamente bajo (sección siguiente).</w:t>
      </w:r>
    </w:p>
    <w:bookmarkEnd w:id="76"/>
    <w:bookmarkStart w:id="105" w:name="X6e9ecf729376c0dcbad7c2c8d7eb1be3dd47b07"/>
    <w:p>
      <w:pPr>
        <w:pStyle w:val="Heading2"/>
      </w:pPr>
      <w:r>
        <w:t xml:space="preserve">8.7 Forzamiento climático multifuente: ERA5-Land, ENSO, caudal IDEAM y CHIRPS</w:t>
      </w:r>
    </w:p>
    <w:p>
      <w:pPr>
        <w:pStyle w:val="FirstParagraph"/>
      </w:pPr>
      <w:r>
        <w:t xml:space="preserve">Para cerrar la cadena causal</w:t>
      </w:r>
      <w:r>
        <w:t xml:space="preserve"> </w:t>
      </w:r>
      <w:r>
        <w:rPr>
          <w:iCs/>
          <w:i/>
        </w:rPr>
        <w:t xml:space="preserve">La Niña → régimen hídrico regional → respuesta del manglar</w:t>
      </w:r>
      <w:r>
        <w:t xml:space="preserve"> </w:t>
      </w:r>
      <w:r>
        <w:t xml:space="preserve">con evidencia cuantitativa, se cruzan las anomalías NDVI z-score con cuatro forzantes complementarios que cubren escalas espaciales y mecanismos físicos distintos: el reanálisis</w:t>
      </w:r>
      <w:r>
        <w:t xml:space="preserve"> </w:t>
      </w:r>
      <w:r>
        <w:rPr>
          <w:bCs/>
          <w:b/>
        </w:rPr>
        <w:t xml:space="preserve">ERA5-Land</w:t>
      </w:r>
      <w:r>
        <w:t xml:space="preserve"> </w:t>
      </w:r>
      <w:r>
        <w:t xml:space="preserve">del ECMWF (precipitación + temperatura local sobre el píxel del humedal), los</w:t>
      </w:r>
      <w:r>
        <w:t xml:space="preserve"> </w:t>
      </w:r>
      <w:r>
        <w:rPr>
          <w:bCs/>
          <w:b/>
        </w:rPr>
        <w:t xml:space="preserve">índices ENSO globales</w:t>
      </w:r>
      <w:r>
        <w:t xml:space="preserve"> </w:t>
      </w:r>
      <w:r>
        <w:t xml:space="preserve">del Climate Prediction Center de la NOAA (ONI sobre el Pacífico ecuatorial 3.4 + SOI Tahití–Darwin), el</w:t>
      </w:r>
      <w:r>
        <w:t xml:space="preserve"> </w:t>
      </w:r>
      <w:r>
        <w:rPr>
          <w:bCs/>
          <w:b/>
        </w:rPr>
        <w:t xml:space="preserve">caudal IDEAM-DHIME</w:t>
      </w:r>
      <w:r>
        <w:t xml:space="preserve"> </w:t>
      </w:r>
      <w:r>
        <w:t xml:space="preserve">del río Magdalena en El Banco y del río Aracataca en Ganadería Caribe (las dos vías hidrológicas independientes que alimentan el sistema), y la</w:t>
      </w:r>
      <w:r>
        <w:t xml:space="preserve"> </w:t>
      </w:r>
      <w:r>
        <w:rPr>
          <w:bCs/>
          <w:b/>
        </w:rPr>
        <w:t xml:space="preserve">precipitación satelital CHIRPS</w:t>
      </w:r>
      <w:r>
        <w:t xml:space="preserve"> </w:t>
      </w:r>
      <w: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rPr>
        <w:t xml:space="preserve">ERA5-Land local.</w:t>
      </w:r>
      <w:r>
        <w:t xml:space="preserve"> </w:t>
      </w:r>
      <w:r>
        <w:t xml:space="preserve">Sobre las cuatro estaciones de manglar, la anomalía de precipitación ERA5 correlaciona con NDVI a</w:t>
      </w:r>
      <w:r>
        <w:t xml:space="preserve"> </w:t>
      </w:r>
      <m:oMath>
        <m:r>
          <m:t>ρ</m:t>
        </m:r>
        <m:r>
          <m:rPr>
            <m:sty m:val="p"/>
          </m:rPr>
          <m:t>=</m:t>
        </m:r>
        <m:r>
          <m:rPr>
            <m:sty m:val="p"/>
          </m:rPr>
          <m:t>−</m:t>
        </m:r>
        <m:r>
          <m:t>0</m:t>
        </m:r>
        <m:r>
          <m:rPr>
            <m:sty m:val="p"/>
          </m:rPr>
          <m:t>,</m:t>
        </m:r>
        <m:r>
          <m:t>123</m:t>
        </m:r>
      </m:oMath>
      <w:r>
        <w:t xml:space="preserve"> </w:t>
      </w:r>
      <w:r>
        <w:t xml:space="preserve">en rezago de dos meses (tabla</w:t>
      </w:r>
      <w:r>
        <w:t xml:space="preserve"> </w:t>
      </w:r>
      <w:hyperlink w:anchor="tbl-era5">
        <w:r>
          <w:rPr>
            <w:rStyle w:val="Hyperlink"/>
          </w:rPr>
          <w:t xml:space="preserve">tabla 12</w:t>
        </w:r>
      </w:hyperlink>
      <w:r>
        <w:t xml:space="preserve">), valor débil pero consistente con la hipótesis de La Niña como forzante de mortandad puntual: precipitación anómalamente alta induce inundación prolongada e hipoxia en el sistema radicular, con caída posterior del NDVI. Sobre las estaciones limnológicas, en cambio, la misma precipitación se asocia positivamente con NDVI a</w:t>
      </w:r>
      <w:r>
        <w:t xml:space="preserve"> </w:t>
      </w:r>
      <m:oMath>
        <m:r>
          <m:t>ρ</m:t>
        </m:r>
        <m:r>
          <m:rPr>
            <m:sty m:val="p"/>
          </m:rPr>
          <m:t>=</m:t>
        </m:r>
        <m:r>
          <m:rPr>
            <m:sty m:val="p"/>
          </m:rPr>
          <m:t>+</m:t>
        </m:r>
        <m:r>
          <m:t>0</m:t>
        </m:r>
        <m:r>
          <m:rPr>
            <m:sty m:val="p"/>
          </m:rPr>
          <m:t>,</m:t>
        </m:r>
        <m:r>
          <m:t>292</m:t>
        </m:r>
      </m:oMath>
      <w: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w:t>
      </w:r>
    </w:p>
    <w:tbl>
      <w:tblPr>
        <w:tblStyle w:val="Table"/>
        <w:tblW w:type="pct" w:w="5000"/>
        <w:tblLook w:firstRow="0" w:lastRow="0" w:firstColumn="0" w:lastColumn="0" w:noHBand="0" w:noVBand="0" w:val="0000"/>
        <w:jc w:val="start"/>
        <w:tblLayout w:type="fixed"/>
      </w:tblPr>
      <w:tblGrid>
        <w:gridCol w:w="7920"/>
      </w:tblGrid>
      <w:tr>
        <w:tc>
          <w:tcPr/>
          <w:bookmarkStart w:id="77" w:name="tbl-era5"/>
          <w:p>
            <w:pPr>
              <w:jc w:val="center"/>
            </w:pPr>
            <w:pPr>
              <w:jc w:val="start"/>
              <w:spacing w:before="200"/>
              <w:pStyle w:val="ImageCaption"/>
            </w:pPr>
            <w:r>
              <w:t xml:space="preserve">Tabla 12: Correlación entre anomalías climáticas ERA5-Land y NDVI z-score, desagregada por naturaleza espectral.</w:t>
            </w:r>
          </w:p>
          <w:tbl>
            <w:tblPr>
              <w:tblStyle w:val="Table"/>
              <w:tblW w:type="pct" w:w="5000"/>
              <w:tblLook w:firstRow="1" w:lastRow="0" w:firstColumn="0" w:lastColumn="0" w:noHBand="0" w:noVBand="0" w:val="0020"/>
              <w:jc w:val="start"/>
              <w:tblLayout w:type="fixed"/>
            </w:tblPr>
            <w:tblGrid>
              <w:gridCol w:w="1218"/>
              <w:gridCol w:w="1624"/>
              <w:gridCol w:w="2538"/>
              <w:gridCol w:w="2233"/>
              <w:gridCol w:w="304"/>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77"/>
          <w:p/>
        </w:tc>
      </w:tr>
    </w:tbl>
    <w:p>
      <w:pPr>
        <w:pStyle w:val="BodyText"/>
      </w:pPr>
      <w:r>
        <w:rPr>
          <w:bCs/>
          <w:b/>
        </w:rPr>
        <w:t xml:space="preserve">ENSO global (ONI y SOI de NOAA).</w:t>
      </w:r>
      <w:r>
        <w:t xml:space="preserve"> </w:t>
      </w:r>
      <w:r>
        <w:t xml:space="preserve">La descarga directa de los índices mensuales del CPC permite complementar el forzamiento ERA5-Land con una medida del estado de fondo de la oscilación del Pacífico, evitando el promediado espacial sobre el AOI. La figura</w:t>
      </w:r>
      <w:r>
        <w:t xml:space="preserve"> </w:t>
      </w:r>
      <w:hyperlink w:anchor="fig-enso-serie">
        <w:r>
          <w:rPr>
            <w:rStyle w:val="Hyperlink"/>
          </w:rPr>
          <w:t xml:space="preserve">figura 5</w:t>
        </w:r>
      </w:hyperlink>
      <w:r>
        <w:t xml:space="preserve"> </w:t>
      </w:r>
      <w:r>
        <w:t xml:space="preserve">muestra El Niño 2015–2016 —ONI máximo +2,75, SOI mínimo –3,6— y el episodio La Niña 2020–2022 sostenido con ONI entre –0,5 y –1,2 durante casi dos años. El SOI emerge como mejor predictor que el ONI sobre ambos grupos de estaciones (tabla</w:t>
      </w:r>
      <w:r>
        <w:t xml:space="preserve"> </w:t>
      </w:r>
      <w:hyperlink w:anchor="tbl-enso-corr">
        <w:r>
          <w:rPr>
            <w:rStyle w:val="Hyperlink"/>
          </w:rPr>
          <w:t xml:space="preserve">tabla 13</w:t>
        </w:r>
      </w:hyperlink>
      <w:r>
        <w:t xml:space="preserve">), con</w:t>
      </w:r>
      <w:r>
        <w:t xml:space="preserve"> </w:t>
      </w:r>
      <m:oMath>
        <m:sSub>
          <m:e>
            <m:r>
              <m:t>ρ</m:t>
            </m:r>
          </m:e>
          <m:sub>
            <m:r>
              <m:rPr>
                <m:nor/>
                <m:sty m:val="p"/>
              </m:rPr>
              <m:t>SOI</m:t>
            </m:r>
          </m:sub>
        </m:sSub>
      </m:oMath>
      <w:r>
        <w:t xml:space="preserve"> </w:t>
      </w:r>
      <w: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t xml:space="preserve"> </w:t>
      </w:r>
      <w: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Style w:val="Table"/>
        <w:tblW w:type="pct" w:w="5000"/>
        <w:tblLook w:firstRow="0" w:lastRow="0" w:firstColumn="0" w:lastColumn="0" w:noHBand="0" w:noVBand="0" w:val="0000"/>
        <w:jc w:val="start"/>
        <w:tblLayout w:type="fixed"/>
      </w:tblPr>
      <w:tblGrid>
        <w:gridCol w:w="7920"/>
      </w:tblGrid>
      <w:tr>
        <w:tc>
          <w:tcPr/>
          <w:bookmarkStart w:id="81" w:name="fig-enso-serie"/>
          <w:p>
            <w:pPr>
              <w:pStyle w:val="Compact"/>
              <w:jc w:val="center"/>
            </w:pPr>
            <w:r>
              <w:drawing>
                <wp:inline>
                  <wp:extent cx="5334000" cy="2190950"/>
                  <wp:effectExtent b="0" l="0" r="0" t="0"/>
                  <wp:docPr descr="" title="" id="79" name="Picture"/>
                  <a:graphic>
                    <a:graphicData uri="http://schemas.openxmlformats.org/drawingml/2006/picture">
                      <pic:pic>
                        <pic:nvPicPr>
                          <pic:cNvPr descr="../outputs/figures/enso_serie_2013_2025.png" id="80" name="Picture"/>
                          <pic:cNvPicPr>
                            <a:picLocks noChangeArrowheads="1" noChangeAspect="1"/>
                          </pic:cNvPicPr>
                        </pic:nvPicPr>
                        <pic:blipFill>
                          <a:blip r:embed="rId78"/>
                          <a:stretch>
                            <a:fillRect/>
                          </a:stretch>
                        </pic:blipFill>
                        <pic:spPr bwMode="auto">
                          <a:xfrm>
                            <a:off x="0" y="0"/>
                            <a:ext cx="5334000" cy="2190950"/>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Índices ENSO mensuales (ONI y SOI, NOAA CPC) sobre el periodo 2013–2025. Las franjas sombreadas marcan El Niño 2015–2016 y La Niña 2020–2022.</w:t>
            </w:r>
          </w:p>
          <w:bookmarkEnd w:id="8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2" w:name="tbl-enso-corr"/>
          <w:p>
            <w:pPr>
              <w:jc w:val="center"/>
            </w:pPr>
            <w:pPr>
              <w:jc w:val="start"/>
              <w:spacing w:before="200"/>
              <w:pStyle w:val="ImageCaption"/>
            </w:pPr>
            <w:r>
              <w:t xml:space="preserve">Tabla 13: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82"/>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6" w:name="fig-enso-correlación"/>
          <w:p>
            <w:pPr>
              <w:pStyle w:val="Compact"/>
              <w:jc w:val="center"/>
            </w:pPr>
            <w:r>
              <w:drawing>
                <wp:inline>
                  <wp:extent cx="5334000" cy="2081068"/>
                  <wp:effectExtent b="0" l="0" r="0" t="0"/>
                  <wp:docPr descr="" title="" id="84" name="Picture"/>
                  <a:graphic>
                    <a:graphicData uri="http://schemas.openxmlformats.org/drawingml/2006/picture">
                      <pic:pic>
                        <pic:nvPicPr>
                          <pic:cNvPr descr="../outputs/figures/enso_vs_ndvi_correlacion.png" id="85" name="Picture"/>
                          <pic:cNvPicPr>
                            <a:picLocks noChangeArrowheads="1" noChangeAspect="1"/>
                          </pic:cNvPicPr>
                        </pic:nvPicPr>
                        <pic:blipFill>
                          <a:blip r:embed="rId83"/>
                          <a:stretch>
                            <a:fillRect/>
                          </a:stretch>
                        </pic:blipFill>
                        <pic:spPr bwMode="auto">
                          <a:xfrm>
                            <a:off x="0" y="0"/>
                            <a:ext cx="5334000" cy="2081068"/>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Correlación entre índices ENSO globales (ONI rojo, SOI azul) y anomalías NDVI z-score, desagregada por naturaleza espectral, rezagos 0–3 meses.</w:t>
            </w:r>
          </w:p>
          <w:bookmarkEnd w:id="86"/>
        </w:tc>
      </w:tr>
    </w:tbl>
    <w:p>
      <w:pPr>
        <w:pStyle w:val="BodyText"/>
      </w:pPr>
      <w:r>
        <w:rPr>
          <w:bCs/>
          <w:b/>
        </w:rPr>
        <w:t xml:space="preserve">Caudal IDEAM-DHIME.</w:t>
      </w:r>
      <w:r>
        <w:t xml:space="preserve"> </w:t>
      </w:r>
      <w: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(tabla</w:t>
      </w:r>
      <w:r>
        <w:t xml:space="preserve"> </w:t>
      </w:r>
      <w:hyperlink w:anchor="tbl-caudal-corr">
        <w:r>
          <w:rPr>
            <w:rStyle w:val="Hyperlink"/>
          </w:rPr>
          <w:t xml:space="preserve">tabla 14</w:t>
        </w:r>
      </w:hyperlink>
      <w:r>
        <w:t xml:space="preserve">); los picos están en El Banco con manglar a tres meses de rezago (</w:t>
      </w:r>
      <m:oMath>
        <m:r>
          <m:t>ρ</m:t>
        </m:r>
        <m:r>
          <m:rPr>
            <m:sty m:val="p"/>
          </m:rPr>
          <m:t>=</m:t>
        </m:r>
        <m:r>
          <m:rPr>
            <m:sty m:val="p"/>
          </m:rPr>
          <m:t>+</m:t>
        </m:r>
        <m:r>
          <m:t>0</m:t>
        </m:r>
        <m:r>
          <m:rPr>
            <m:sty m:val="p"/>
          </m:rPr>
          <m:t>,</m:t>
        </m:r>
        <m:r>
          <m:t>256</m:t>
        </m:r>
      </m:oMath>
      <w:r>
        <w:t xml:space="preserve">, n = 71) y en Ganadería Caribe con manglar a un mes (</w:t>
      </w:r>
      <m:oMath>
        <m:r>
          <m:t>ρ</m:t>
        </m:r>
        <m:r>
          <m:rPr>
            <m:sty m:val="p"/>
          </m:rPr>
          <m:t>=</m:t>
        </m:r>
        <m:r>
          <m:rPr>
            <m:sty m:val="p"/>
          </m:rPr>
          <m:t>+</m:t>
        </m:r>
        <m:r>
          <m:t>0</m:t>
        </m:r>
        <m:r>
          <m:rPr>
            <m:sty m:val="p"/>
          </m:rPr>
          <m:t>,</m:t>
        </m:r>
        <m:r>
          <m:t>224</m:t>
        </m:r>
      </m:oMath>
      <w:r>
        <w:t xml:space="preserve">, n = 67). El signo positivo universal indica que</w:t>
      </w:r>
      <w:r>
        <w:t xml:space="preserve"> </w:t>
      </w:r>
      <w:r>
        <w:rPr>
          <w:bCs/>
          <w:b/>
        </w:rPr>
        <w:t xml:space="preserve">mayor caudal sostenido se asocia con NDVI más alto</w:t>
      </w:r>
      <w: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t xml:space="preserve">) se concentran en 2022 —no en septiembre 2020—, así el pico fluvial del periodo La Niña ocurrió de manera tardía, después del evento de mortandad.</w:t>
      </w:r>
    </w:p>
    <w:tbl>
      <w:tblPr>
        <w:tblStyle w:val="Table"/>
        <w:tblW w:type="pct" w:w="5000"/>
        <w:tblLook w:firstRow="0" w:lastRow="0" w:firstColumn="0" w:lastColumn="0" w:noHBand="0" w:noVBand="0" w:val="0000"/>
        <w:jc w:val="start"/>
        <w:tblLayout w:type="fixed"/>
      </w:tblPr>
      <w:tblGrid>
        <w:gridCol w:w="7920"/>
      </w:tblGrid>
      <w:tr>
        <w:tc>
          <w:tcPr/>
          <w:bookmarkStart w:id="87" w:name="tbl-caudal-corr"/>
          <w:p>
            <w:pPr>
              <w:jc w:val="center"/>
            </w:pPr>
            <w:pPr>
              <w:jc w:val="start"/>
              <w:spacing w:before="200"/>
              <w:pStyle w:val="ImageCaption"/>
            </w:pPr>
            <w:r>
              <w:t xml:space="preserve">Tabla 14: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87"/>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1" w:name="fig-caudal-series"/>
          <w:p>
            <w:pPr>
              <w:pStyle w:val="Compact"/>
              <w:jc w:val="center"/>
            </w:pPr>
            <w:r>
              <w:drawing>
                <wp:inline>
                  <wp:extent cx="5334000" cy="2945178"/>
                  <wp:effectExtent b="0" l="0" r="0" t="0"/>
                  <wp:docPr descr="" title="" id="89" name="Picture"/>
                  <a:graphic>
                    <a:graphicData uri="http://schemas.openxmlformats.org/drawingml/2006/picture">
                      <pic:pic>
                        <pic:nvPicPr>
                          <pic:cNvPr descr="../outputs/figures/caudal_ideam_series_2013_2025.png" id="90" name="Picture"/>
                          <pic:cNvPicPr>
                            <a:picLocks noChangeArrowheads="1" noChangeAspect="1"/>
                          </pic:cNvPicPr>
                        </pic:nvPicPr>
                        <pic:blipFill>
                          <a:blip r:embed="rId88"/>
                          <a:stretch>
                            <a:fillRect/>
                          </a:stretch>
                        </pic:blipFill>
                        <pic:spPr bwMode="auto">
                          <a:xfrm>
                            <a:off x="0" y="0"/>
                            <a:ext cx="5334000" cy="2945178"/>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t xml:space="preserve">) ocurren en 2022, no en 2020.</w:t>
            </w:r>
          </w:p>
          <w:bookmarkEnd w:id="9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5" w:name="fig-caudal-correlación"/>
          <w:p>
            <w:pPr>
              <w:pStyle w:val="Compact"/>
              <w:jc w:val="center"/>
            </w:pPr>
            <w:r>
              <w:drawing>
                <wp:inline>
                  <wp:extent cx="5334000" cy="2132771"/>
                  <wp:effectExtent b="0" l="0" r="0" t="0"/>
                  <wp:docPr descr="" title="" id="93" name="Picture"/>
                  <a:graphic>
                    <a:graphicData uri="http://schemas.openxmlformats.org/drawingml/2006/picture">
                      <pic:pic>
                        <pic:nvPicPr>
                          <pic:cNvPr descr="../outputs/figures/caudal_vs_ndvi_correlacion.png" id="94" name="Picture"/>
                          <pic:cNvPicPr>
                            <a:picLocks noChangeArrowheads="1" noChangeAspect="1"/>
                          </pic:cNvPicPr>
                        </pic:nvPicPr>
                        <pic:blipFill>
                          <a:blip r:embed="rId92"/>
                          <a:stretch>
                            <a:fillRect/>
                          </a:stretch>
                        </pic:blipFill>
                        <pic:spPr bwMode="auto">
                          <a:xfrm>
                            <a:off x="0" y="0"/>
                            <a:ext cx="5334000" cy="2132771"/>
                          </a:xfrm>
                          <a:prstGeom prst="rect">
                            <a:avLst/>
                          </a:prstGeom>
                          <a:noFill/>
                          <a:ln w="9525">
                            <a:noFill/>
                            <a:headEnd/>
                            <a:tailEnd/>
                          </a:ln>
                        </pic:spPr>
                      </pic:pic>
                    </a:graphicData>
                  </a:graphic>
                </wp:inline>
              </w:drawing>
            </w:r>
          </w:p>
          <w:p>
            <w:pPr>
              <w:jc w:val="center"/>
            </w:pPr>
            <w:pPr>
              <w:jc w:val="start"/>
              <w:spacing w:before="200"/>
              <w:pStyle w:val="ImageCaption"/>
            </w:pPr>
            <w:r>
              <w:t xml:space="preserve">Figura 8: Correlación de Pearson entre anomalía de caudal IDEAM y NDVI z-score por estación hidrológica, naturaleza espectral y rezago 0–3 meses.</w:t>
            </w:r>
          </w:p>
          <w:bookmarkEnd w:id="95"/>
        </w:tc>
      </w:tr>
    </w:tbl>
    <w:p>
      <w:pPr>
        <w:pStyle w:val="BodyText"/>
      </w:pPr>
      <w:r>
        <w:rPr>
          <w:bCs/>
          <w:b/>
        </w:rPr>
        <w:t xml:space="preserve">CHIRPS sobre cuencas aportantes (validación independiente).</w:t>
      </w:r>
      <w:r>
        <w:t xml:space="preserve"> </w:t>
      </w:r>
      <w: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t xml:space="preserve"> </w:t>
      </w:r>
      <w:r>
        <w:t xml:space="preserve">vs</w:t>
      </w:r>
      <w:r>
        <w:t xml:space="preserve"> </w:t>
      </w:r>
      <m:oMath>
        <m:sSub>
          <m:e>
            <m:r>
              <m:t>ρ</m:t>
            </m:r>
          </m:e>
          <m:sub>
            <m:r>
              <m:rPr>
                <m:nor/>
                <m:sty m:val="p"/>
              </m:rPr>
              <m:t>IDEAM</m:t>
            </m:r>
          </m:sub>
        </m:sSub>
        <m:r>
          <m:rPr>
            <m:sty m:val="p"/>
          </m:rPr>
          <m:t>=</m:t>
        </m:r>
        <m:r>
          <m:rPr>
            <m:sty m:val="p"/>
          </m:rPr>
          <m:t>+</m:t>
        </m:r>
        <m:r>
          <m:t>0</m:t>
        </m:r>
        <m:r>
          <m:rPr>
            <m:sty m:val="p"/>
          </m:rPr>
          <m:t>,</m:t>
        </m:r>
        <m:r>
          <m:t>256</m:t>
        </m:r>
      </m:oMath>
      <w: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t xml:space="preserve">). Esta</w:t>
      </w:r>
      <w:r>
        <w:t xml:space="preserve"> </w:t>
      </w:r>
      <w:r>
        <w:rPr>
          <w:bCs/>
          <w:b/>
        </w:rPr>
        <w:t xml:space="preserve">doble validación</w:t>
      </w:r>
      <w:r>
        <w:t xml:space="preserve"> </w:t>
      </w:r>
      <w:r>
        <w:t xml:space="preserve">—caudal hidrométrico medido y precipitación satelital sobre la misma cuenca— confirma que el aporte hídrico sostenido es beneficioso para el manglar en escalas de uno a tres meses.</w:t>
      </w:r>
    </w:p>
    <w:tbl>
      <w:tblPr>
        <w:tblStyle w:val="Table"/>
        <w:tblW w:type="pct" w:w="5000"/>
        <w:tblLook w:firstRow="0" w:lastRow="0" w:firstColumn="0" w:lastColumn="0" w:noHBand="0" w:noVBand="0" w:val="0000"/>
        <w:jc w:val="start"/>
        <w:tblLayout w:type="fixed"/>
      </w:tblPr>
      <w:tblGrid>
        <w:gridCol w:w="7920"/>
      </w:tblGrid>
      <w:tr>
        <w:tc>
          <w:tcPr/>
          <w:bookmarkStart w:id="96" w:name="tbl-chirps-corr"/>
          <w:p>
            <w:pPr>
              <w:jc w:val="center"/>
            </w:pPr>
            <w:pPr>
              <w:jc w:val="start"/>
              <w:spacing w:before="200"/>
              <w:pStyle w:val="ImageCaption"/>
            </w:pPr>
            <w:r>
              <w:t xml:space="preserve">Tabla 15: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96"/>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0" w:name="fig-chirps-series"/>
          <w:p>
            <w:pPr>
              <w:pStyle w:val="Compact"/>
              <w:jc w:val="center"/>
            </w:pPr>
            <w:r>
              <w:drawing>
                <wp:inline>
                  <wp:extent cx="5334000" cy="3191435"/>
                  <wp:effectExtent b="0" l="0" r="0" t="0"/>
                  <wp:docPr descr="" title="" id="98" name="Picture"/>
                  <a:graphic>
                    <a:graphicData uri="http://schemas.openxmlformats.org/drawingml/2006/picture">
                      <pic:pic>
                        <pic:nvPicPr>
                          <pic:cNvPr descr="../outputs/figures/chirps_serie_cuencas_2013_2025.png" id="99" name="Picture"/>
                          <pic:cNvPicPr>
                            <a:picLocks noChangeArrowheads="1" noChangeAspect="1"/>
                          </pic:cNvPicPr>
                        </pic:nvPicPr>
                        <pic:blipFill>
                          <a:blip r:embed="rId97"/>
                          <a:stretch>
                            <a:fillRect/>
                          </a:stretch>
                        </pic:blipFill>
                        <pic:spPr bwMode="auto">
                          <a:xfrm>
                            <a:off x="0" y="0"/>
                            <a:ext cx="5334000" cy="3191435"/>
                          </a:xfrm>
                          <a:prstGeom prst="rect">
                            <a:avLst/>
                          </a:prstGeom>
                          <a:noFill/>
                          <a:ln w="9525">
                            <a:noFill/>
                            <a:headEnd/>
                            <a:tailEnd/>
                          </a:ln>
                        </pic:spPr>
                      </pic:pic>
                    </a:graphicData>
                  </a:graphic>
                </wp:inline>
              </w:drawing>
            </w:r>
          </w:p>
          <w:p>
            <w:pPr>
              <w:jc w:val="center"/>
            </w:pPr>
            <w:pPr>
              <w:jc w:val="start"/>
              <w:spacing w:before="200"/>
              <w:pStyle w:val="ImageCaption"/>
            </w:pPr>
            <w:r>
              <w:t xml:space="preserve">Figura 9: Anomalías mensuales CHIRPS sobre las dos cuencas aportantes a la CGSM, 2013–2025. Los picos extremos</w:t>
            </w:r>
            <w:r>
              <w:t xml:space="preserve"> </w:t>
            </w:r>
            <m:oMath>
              <m:r>
                <m:t>z</m:t>
              </m:r>
              <m:r>
                <m:rPr>
                  <m:sty m:val="p"/>
                </m:rPr>
                <m:t>&gt;</m:t>
              </m:r>
              <m:r>
                <m:rPr>
                  <m:sty m:val="p"/>
                </m:rPr>
                <m:t>+</m:t>
              </m:r>
              <m:r>
                <m:t>2</m:t>
              </m:r>
            </m:oMath>
            <w:r>
              <w:t xml:space="preserve"> </w:t>
            </w:r>
            <w:r>
              <w:t xml:space="preserve">se concentran en 2022, en línea con los caudales IDEAM (figura</w:t>
            </w:r>
            <w:r>
              <w:t xml:space="preserve"> </w:t>
            </w:r>
            <w:hyperlink w:anchor="fig-caudal-series">
              <w:r>
                <w:rPr>
                  <w:rStyle w:val="Hyperlink"/>
                </w:rPr>
                <w:t xml:space="preserve">figura 7</w:t>
              </w:r>
            </w:hyperlink>
            <w:r>
              <w:t xml:space="preserve">).</w:t>
            </w:r>
          </w:p>
          <w:bookmarkEnd w:id="10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4" w:name="fig-chirps-correlación"/>
          <w:p>
            <w:pPr>
              <w:pStyle w:val="Compact"/>
              <w:jc w:val="center"/>
            </w:pPr>
            <w:r>
              <w:drawing>
                <wp:inline>
                  <wp:extent cx="5334000" cy="3648752"/>
                  <wp:effectExtent b="0" l="0" r="0" t="0"/>
                  <wp:docPr descr="" title="" id="102" name="Picture"/>
                  <a:graphic>
                    <a:graphicData uri="http://schemas.openxmlformats.org/drawingml/2006/picture">
                      <pic:pic>
                        <pic:nvPicPr>
                          <pic:cNvPr descr="../outputs/figures/chirps_vs_ndvi_correlacion.png" id="103" name="Picture"/>
                          <pic:cNvPicPr>
                            <a:picLocks noChangeArrowheads="1" noChangeAspect="1"/>
                          </pic:cNvPicPr>
                        </pic:nvPicPr>
                        <pic:blipFill>
                          <a:blip r:embed="rId101"/>
                          <a:stretch>
                            <a:fillRect/>
                          </a:stretch>
                        </pic:blipFill>
                        <pic:spPr bwMode="auto">
                          <a:xfrm>
                            <a:off x="0" y="0"/>
                            <a:ext cx="5334000" cy="3648752"/>
                          </a:xfrm>
                          <a:prstGeom prst="rect">
                            <a:avLst/>
                          </a:prstGeom>
                          <a:noFill/>
                          <a:ln w="9525">
                            <a:noFill/>
                            <a:headEnd/>
                            <a:tailEnd/>
                          </a:ln>
                        </pic:spPr>
                      </pic:pic>
                    </a:graphicData>
                  </a:graphic>
                </wp:inline>
              </w:drawing>
            </w:r>
          </w:p>
          <w:p>
            <w:pPr>
              <w:jc w:val="center"/>
            </w:pPr>
            <w:pPr>
              <w:jc w:val="start"/>
              <w:spacing w:before="200"/>
              <w:pStyle w:val="ImageCaption"/>
            </w:pPr>
            <w:r>
              <w:t xml:space="preserve">Figura 10: Correlación de Pearson entre anomalía mensual CHIRPS y NDVI z-score por cuenca y naturaleza espectral. La convergencia con el caudal IDEAM (figura</w:t>
            </w:r>
            <w:r>
              <w:t xml:space="preserve"> </w:t>
            </w:r>
            <w:hyperlink w:anchor="fig-caudal-correlación">
              <w:r>
                <w:rPr>
                  <w:rStyle w:val="Hyperlink"/>
                </w:rPr>
                <w:t xml:space="preserve">figura 8</w:t>
              </w:r>
            </w:hyperlink>
            <w:r>
              <w:t xml:space="preserve">) ofrece doble validación.</w:t>
            </w:r>
          </w:p>
          <w:bookmarkEnd w:id="104"/>
        </w:tc>
      </w:tr>
    </w:tbl>
    <w:p>
      <w:pPr>
        <w:pStyle w:val="BodyText"/>
      </w:pPr>
      <w:r>
        <w:rPr>
          <w:bCs/>
          <w:b/>
        </w:rPr>
        <w:t xml:space="preserve">Síntesis: reformulación de la cadena causal en cuatro pasos.</w:t>
      </w:r>
      <w:r>
        <w:t xml:space="preserve"> </w:t>
      </w:r>
      <w:r>
        <w:t xml:space="preserve">La convergencia de las cuatro fuentes obliga a matizar la lectura ingenua del evento de septiembre 2020.</w:t>
      </w:r>
      <w:r>
        <w:t xml:space="preserve"> </w:t>
      </w:r>
      <w:r>
        <w:rPr>
          <w:iCs/>
          <w:i/>
        </w:rPr>
        <w:t xml:space="preserve">Primero</w:t>
      </w:r>
      <w:r>
        <w:t xml:space="preserve">, el episodio La Niña 2020–2021 induce un régimen prolongado de mayor precipitación regional —visible en ERA5, ENSO (SOI positivo), caudal y CHIRPS— que se acumula progresivamente en los caudales fluviales hasta alcanzar valores extremos en 2022.</w:t>
      </w:r>
      <w:r>
        <w:t xml:space="preserve"> </w:t>
      </w:r>
      <w:r>
        <w:rPr>
          <w:iCs/>
          <w:i/>
        </w:rPr>
        <w:t xml:space="preserve">Segundo</w:t>
      </w:r>
      <w:r>
        <w:t xml:space="preserve">, el aporte sostenido de caudal en la mayor parte del periodo es</w:t>
      </w:r>
      <w:r>
        <w:t xml:space="preserve"> </w:t>
      </w:r>
      <w:r>
        <w:rPr>
          <w:bCs/>
          <w:b/>
        </w:rPr>
        <w:t xml:space="preserve">beneficioso</w:t>
      </w:r>
      <w:r>
        <w:t xml:space="preserve"> </w:t>
      </w:r>
      <w:r>
        <w:t xml:space="preserve">para el manglar pues reduce la hipersalinización del sustrato, lo que explica las correlaciones positivas universales con NDVI tanto en IDEAM como en CHIRPS.</w:t>
      </w:r>
      <w:r>
        <w:t xml:space="preserve"> </w:t>
      </w:r>
      <w:r>
        <w:rPr>
          <w:iCs/>
          <w:i/>
        </w:rPr>
        <w:t xml:space="preserve">Tercero</w:t>
      </w:r>
      <w:r>
        <w:t xml:space="preserve">, el evento puntual de mortandad de septiembre 2020</w:t>
      </w:r>
      <w:r>
        <w:t xml:space="preserve"> </w:t>
      </w:r>
      <w:r>
        <w:rPr>
          <w:bCs/>
          <w:b/>
        </w:rPr>
        <w:t xml:space="preserve">no se explica por un pico de caudal simultáneo</w:t>
      </w:r>
      <w:r>
        <w:t xml:space="preserve"> </w:t>
      </w:r>
      <w:r>
        <w:t xml:space="preserve">—que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t xml:space="preserve"> </w:t>
      </w:r>
      <w:r>
        <w:t xml:space="preserve">a dos meses) acompañada de inundación bajo dosel detectable por SAR (43,08 km², tabla</w:t>
      </w:r>
      <w:r>
        <w:t xml:space="preserve"> </w:t>
      </w:r>
      <w:hyperlink w:anchor="tbl-sar">
        <w:r>
          <w:rPr>
            <w:rStyle w:val="Hyperlink"/>
          </w:rPr>
          <w:t xml:space="preserve">tabla 17</w:t>
        </w:r>
      </w:hyperlink>
      <w:r>
        <w:t xml:space="preserve">).</w:t>
      </w:r>
      <w:r>
        <w:t xml:space="preserve"> </w:t>
      </w:r>
      <w:r>
        <w:rPr>
          <w:iCs/>
          <w:i/>
        </w:rPr>
        <w:t xml:space="preserve">Cuarto</w:t>
      </w:r>
      <w:r>
        <w:t xml:space="preserve">, los efectos de mediano plazo del régimen La Niña se manifiestan en los quiebres bfast de 2022 sobre CP Aguas Negras y CP Luna (tabla</w:t>
      </w:r>
      <w:r>
        <w:t xml:space="preserve"> </w:t>
      </w:r>
      <w:hyperlink w:anchor="tbl-bfast-unificado">
        <w:r>
          <w:rPr>
            <w:rStyle w:val="Hyperlink"/>
          </w:rPr>
          <w:t xml:space="preserve">tabla 8</w:t>
        </w:r>
      </w:hyperlink>
      <w:r>
        <w:t xml:space="preserve">), periodo en el cual los caudales alcanzan su máximo histórico. Esta reformulación honra los datos sin renunciar a la atribución climática del evento de 2020 a La Niña, en el entendido de que la mediación entre el forzante atmosférico global y la respuesta espectral local del manglar opera a través de procesos hidrológicos multiescalares que ningún forzante único captura por sí solo.</w:t>
      </w:r>
    </w:p>
    <w:bookmarkEnd w:id="105"/>
    <w:bookmarkStart w:id="110" w:name="X1719a00c63a18855820e8063cc3014d3e319aea"/>
    <w:p>
      <w:pPr>
        <w:pStyle w:val="Heading2"/>
      </w:pPr>
      <w:r>
        <w:t xml:space="preserve">8.8 Validación cruzada multilingüe Python + R + Julia</w:t>
      </w:r>
    </w:p>
    <w:p>
      <w:pPr>
        <w:pStyle w:val="FirstParagraph"/>
      </w:pPr>
      <w:r>
        <w:t xml:space="preserve">La naturaleza multilingüe del proyecto se verifica mediante</w:t>
      </w:r>
      <w:r>
        <w:t xml:space="preserve"> </w:t>
      </w:r>
      <w:r>
        <w:rPr>
          <w:bCs/>
          <w:b/>
        </w:rPr>
        <w:t xml:space="preserve">cuatro validaciones cruzadas</w:t>
      </w:r>
      <w:r>
        <w:t xml:space="preserve"> </w:t>
      </w:r>
      <w:r>
        <w:t xml:space="preserve">ejecutadas sobre los análisis más relevantes del informe, que confirman que las conclusiones no dependen del entorno computacional. (i)</w:t>
      </w:r>
      <w:r>
        <w:t xml:space="preserve"> </w:t>
      </w:r>
      <w:r>
        <w:rPr>
          <w:bCs/>
          <w:b/>
        </w:rPr>
        <w:t xml:space="preserve">Series NDVI Python ↔ R</w:t>
      </w:r>
      <w:r>
        <w:t xml:space="preserve">: el flujo de extracción</w:t>
      </w:r>
      <w:r>
        <w:t xml:space="preserve"> </w:t>
      </w:r>
      <w:r>
        <w:rPr>
          <w:rStyle w:val="VerbatimChar"/>
        </w:rPr>
        <w:t xml:space="preserve">stars::st_extract</w:t>
      </w:r>
      <w:r>
        <w:t xml:space="preserve"> </w:t>
      </w:r>
      <w:r>
        <w:t xml:space="preserve">sobre el cubo trimestral en R reproduce la serie de</w:t>
      </w:r>
      <w:r>
        <w:t xml:space="preserve"> </w:t>
      </w:r>
      <w:r>
        <w:rPr>
          <w:rStyle w:val="VerbatimChar"/>
        </w:rPr>
        <w:t xml:space="preserve">reduceRegions</w:t>
      </w:r>
      <w:r>
        <w:t xml:space="preserve"> </w:t>
      </w:r>
      <w:r>
        <w:t xml:space="preserve">en GEE con</w:t>
      </w:r>
      <w:r>
        <w:t xml:space="preserve"> </w:t>
      </w:r>
      <m:oMath>
        <m:r>
          <m:t>ρ</m:t>
        </m:r>
        <m:r>
          <m:rPr>
            <m:sty m:val="p"/>
          </m:rPr>
          <m:t>&gt;</m:t>
        </m:r>
        <m:r>
          <m:t>0</m:t>
        </m:r>
        <m:r>
          <m:rPr>
            <m:sty m:val="p"/>
          </m:rPr>
          <m:t>,</m:t>
        </m:r>
        <m:r>
          <m:t>95</m:t>
        </m:r>
      </m:oMath>
      <w:r>
        <w:t xml:space="preserve"> </w:t>
      </w:r>
      <w:r>
        <w:t xml:space="preserve">y RMSE &lt; 0,05 unidades NDVI sobre las ocho estaciones. (ii)</w:t>
      </w:r>
      <w:r>
        <w:t xml:space="preserve"> </w:t>
      </w:r>
      <w:r>
        <w:rPr>
          <w:bCs/>
          <w:b/>
        </w:rPr>
        <w:t xml:space="preserve">Correlación caudal-NDVI trilingüe Python = R = Julia</w:t>
      </w:r>
      <w:r>
        <w:t xml:space="preserve"> </w:t>
      </w:r>
      <w:r>
        <w:t xml:space="preserve">(notebook</w:t>
      </w:r>
      <w:r>
        <w:t xml:space="preserve"> </w:t>
      </w:r>
      <w:r>
        <w:rPr>
          <w:rStyle w:val="VerbatimChar"/>
        </w:rPr>
        <w:t xml:space="preserve">14_validacion_trilingual.ipynb</w:t>
      </w:r>
      <w:r>
        <w:t xml:space="preserve">, figura</w:t>
      </w:r>
      <w:r>
        <w:t xml:space="preserve"> </w:t>
      </w:r>
      <w:hyperlink w:anchor="fig-trilingual">
        <w:r>
          <w:rPr>
            <w:rStyle w:val="Hyperlink"/>
          </w:rPr>
          <w:t xml:space="preserve">figura 11</w:t>
        </w:r>
      </w:hyperlink>
      <w:r>
        <w:t xml:space="preserve">): los tres lenguajes producen valores idénticos hasta tres decimales —</w:t>
      </w:r>
      <m:oMath>
        <m:r>
          <m:t>ρ</m:t>
        </m:r>
        <m:r>
          <m:rPr>
            <m:sty m:val="p"/>
          </m:rPr>
          <m:t>=</m:t>
        </m:r>
        <m:r>
          <m:t>0</m:t>
        </m:r>
        <m:r>
          <m:rPr>
            <m:sty m:val="p"/>
          </m:rPr>
          <m:t>,</m:t>
        </m:r>
        <m:r>
          <m:t>064</m:t>
        </m:r>
      </m:oMath>
      <w:r>
        <w:t xml:space="preserve"> </w:t>
      </w:r>
      <w:r>
        <w:t xml:space="preserve">/</w:t>
      </w:r>
      <w:r>
        <w:t xml:space="preserve"> </w:t>
      </w:r>
      <m:oMath>
        <m:r>
          <m:t>0</m:t>
        </m:r>
        <m:r>
          <m:rPr>
            <m:sty m:val="p"/>
          </m:rPr>
          <m:t>,</m:t>
        </m:r>
        <m:r>
          <m:t>039</m:t>
        </m:r>
      </m:oMath>
      <w:r>
        <w:t xml:space="preserve"> </w:t>
      </w:r>
      <w:r>
        <w:t xml:space="preserve">/</w:t>
      </w:r>
      <w:r>
        <w:t xml:space="preserve"> </w:t>
      </w:r>
      <m:oMath>
        <m:r>
          <m:t>0</m:t>
        </m:r>
        <m:r>
          <m:rPr>
            <m:sty m:val="p"/>
          </m:rPr>
          <m:t>,</m:t>
        </m:r>
        <m:r>
          <m:t>108</m:t>
        </m:r>
      </m:oMath>
      <w:r>
        <w:t xml:space="preserve"> </w:t>
      </w:r>
      <w:r>
        <w:t xml:space="preserve">/</w:t>
      </w:r>
      <w:r>
        <w:t xml:space="preserve"> </w:t>
      </w:r>
      <m:oMath>
        <m:r>
          <m:t>0</m:t>
        </m:r>
        <m:r>
          <m:rPr>
            <m:sty m:val="p"/>
          </m:rPr>
          <m:t>,</m:t>
        </m:r>
        <m:r>
          <m:t>256</m:t>
        </m:r>
      </m:oMath>
      <w:r>
        <w:t xml:space="preserve"> </w:t>
      </w:r>
      <w:r>
        <w:t xml:space="preserve">para los rezagos 0 a 3 meses— con diferencia máxima del orden de</w:t>
      </w:r>
      <w:r>
        <w:t xml:space="preserve"> </w:t>
      </w:r>
      <m:oMath>
        <m:sSup>
          <m:e>
            <m:r>
              <m:t>10</m:t>
            </m:r>
          </m:e>
          <m:sup>
            <m:r>
              <m:rPr>
                <m:sty m:val="p"/>
              </m:rPr>
              <m:t>−</m:t>
            </m:r>
            <m:r>
              <m:t>4</m:t>
            </m:r>
          </m:sup>
        </m:sSup>
      </m:oMath>
      <w:r>
        <w:t xml:space="preserve">. (iii)</w:t>
      </w:r>
      <w:r>
        <w:t xml:space="preserve"> </w:t>
      </w:r>
      <w:r>
        <w:rPr>
          <w:bCs/>
          <w:b/>
        </w:rPr>
        <w:t xml:space="preserve">Topología DE-9IM Python ↔ Julia</w:t>
      </w:r>
      <w:r>
        <w:t xml:space="preserve"> </w:t>
      </w:r>
      <w:r>
        <w:t xml:space="preserve">(notebook</w:t>
      </w:r>
      <w:r>
        <w:t xml:space="preserve"> </w:t>
      </w:r>
      <w:r>
        <w:rPr>
          <w:rStyle w:val="VerbatimChar"/>
        </w:rPr>
        <w:t xml:space="preserve">04c_topologia_julia.ipynb</w:t>
      </w:r>
      <w:r>
        <w:t xml:space="preserve">):</w:t>
      </w:r>
      <w:r>
        <w:t xml:space="preserve"> </w:t>
      </w:r>
      <w:r>
        <w:rPr>
          <w:rStyle w:val="VerbatimChar"/>
        </w:rPr>
        <w:t xml:space="preserve">LibGEOS.jl</w:t>
      </w:r>
      <w:r>
        <w:t xml:space="preserve"> </w:t>
      </w:r>
      <w:r>
        <w:t xml:space="preserve">en Julia produce conteos idénticos a</w:t>
      </w:r>
      <w:r>
        <w:t xml:space="preserve"> </w:t>
      </w:r>
      <w:r>
        <w:rPr>
          <w:rStyle w:val="VerbatimChar"/>
        </w:rPr>
        <w:t xml:space="preserve">geopandas</w:t>
      </w:r>
      <w:r>
        <w:t xml:space="preserve"> </w:t>
      </w:r>
      <w:r>
        <w:t xml:space="preserve">+</w:t>
      </w:r>
      <w:r>
        <w:t xml:space="preserve"> </w:t>
      </w:r>
      <w:r>
        <w:rPr>
          <w:rStyle w:val="VerbatimChar"/>
        </w:rPr>
        <w:t xml:space="preserve">shapely</w:t>
      </w:r>
      <w:r>
        <w:t xml:space="preserve"> </w:t>
      </w:r>
      <w:r>
        <w:t xml:space="preserve">para parches totales y en borde sobre los tres periodos (17/6, 17/8 y 15/8 con proporciones de borde 35,3 %, 47,1 % y 53,3 %). (iv)</w:t>
      </w:r>
      <w:r>
        <w:t xml:space="preserve"> </w:t>
      </w:r>
      <w:r>
        <w:rPr>
          <w:bCs/>
          <w:b/>
        </w:rPr>
        <w:t xml:space="preserve">Análisis hidroclimáticos Python ↔ R</w:t>
      </w:r>
      <w:r>
        <w:t xml:space="preserve">: las réplicas en R de los índices ENSO (</w:t>
      </w:r>
      <w:r>
        <w:rPr>
          <w:rStyle w:val="VerbatimChar"/>
        </w:rPr>
        <w:t xml:space="preserve">11b_indices_enso_noaa_R.ipynb</w:t>
      </w:r>
      <w:r>
        <w:t xml:space="preserve">) y del caudal IDEAM (</w:t>
      </w:r>
      <w:r>
        <w:rPr>
          <w:rStyle w:val="VerbatimChar"/>
        </w:rPr>
        <w:t xml:space="preserve">12c_caudal_ideam_R.ipynb</w:t>
      </w:r>
      <w:r>
        <w:t xml:space="preserve">) reproducen hasta tres decimales las dieciséis filas de</w:t>
      </w:r>
      <w:r>
        <w:t xml:space="preserve"> </w:t>
      </w:r>
      <w:hyperlink w:anchor="tbl-caudal-corr">
        <w:r>
          <w:rPr>
            <w:rStyle w:val="Hyperlink"/>
          </w:rPr>
          <w:t xml:space="preserve">tabla 14</w:t>
        </w:r>
      </w:hyperlink>
      <w:r>
        <w:t xml:space="preserve"> </w:t>
      </w:r>
      <w:r>
        <w:t xml:space="preserve">y las ocho de</w:t>
      </w:r>
      <w:r>
        <w:t xml:space="preserve"> </w:t>
      </w:r>
      <w:hyperlink w:anchor="tbl-enso-corr">
        <w:r>
          <w:rPr>
            <w:rStyle w:val="Hyperlink"/>
          </w:rPr>
          <w:t xml:space="preserve">tabla 13</w:t>
        </w:r>
      </w:hyperlink>
      <w:r>
        <w:t xml:space="preserve"> </w:t>
      </w:r>
      <w:r>
        <w:t xml:space="preserve">—incluido el valor pico</w:t>
      </w:r>
      <w:r>
        <w:t xml:space="preserve"> </w:t>
      </w:r>
      <m:oMath>
        <m:sSup>
          <m:e>
            <m:r>
              <m:t>ρ</m:t>
            </m:r>
          </m:e>
          <m:sup>
            <m:r>
              <m:rPr>
                <m:nor/>
                <m:sty m:val="p"/>
              </m:rPr>
              <m:t>El Banco, manglar, lag 3</m:t>
            </m:r>
          </m:sup>
        </m:sSup>
        <m:r>
          <m:rPr>
            <m:sty m:val="p"/>
          </m:rPr>
          <m:t>=</m:t>
        </m:r>
        <m:r>
          <m:rPr>
            <m:sty m:val="p"/>
          </m:rPr>
          <m:t>+</m:t>
        </m:r>
        <m:r>
          <m:t>0</m:t>
        </m:r>
        <m:r>
          <m:rPr>
            <m:sty m:val="p"/>
          </m:rPr>
          <m:t>,</m:t>
        </m:r>
        <m:r>
          <m:t>256</m:t>
        </m:r>
      </m:oMath>
      <w:r>
        <w:t xml:space="preserve"> </w:t>
      </w:r>
      <w:r>
        <w:t xml:space="preserve">que sostiene la interpretación del informe.</w:t>
      </w:r>
    </w:p>
    <w:p>
      <w:pPr>
        <w:pStyle w:val="BodyText"/>
      </w:pPr>
      <w:r>
        <w:t xml:space="preserve">La consistencia entre estas cuatro validaciones confirma que la elección de Python para GEE y SamGeo, R para bfast y series ecohidrológicas, y Julia para fragmentación y predicados DE-9IM con</w:t>
      </w:r>
      <w:r>
        <w:t xml:space="preserve"> </w:t>
      </w:r>
      <w:r>
        <w:rPr>
          <w:rStyle w:val="VerbatimChar"/>
        </w:rPr>
        <w:t xml:space="preserve">LibGEOS.jl</w:t>
      </w:r>
      <w:r>
        <w:t xml:space="preserve"> </w:t>
      </w:r>
      <w:r>
        <w:t xml:space="preserve">obedece a la conveniencia disciplinar de cada lenguaje y no a una restricción metodológica, así el pipeline constituye una arquitectura interoperable cuyas salidas son reproducibles e independientes del entorno.</w:t>
      </w:r>
    </w:p>
    <w:tbl>
      <w:tblPr>
        <w:tblStyle w:val="Table"/>
        <w:tblW w:type="pct" w:w="5000"/>
        <w:tblLook w:firstRow="0" w:lastRow="0" w:firstColumn="0" w:lastColumn="0" w:noHBand="0" w:noVBand="0" w:val="0000"/>
        <w:jc w:val="start"/>
        <w:tblLayout w:type="fixed"/>
      </w:tblPr>
      <w:tblGrid>
        <w:gridCol w:w="7920"/>
      </w:tblGrid>
      <w:tr>
        <w:tc>
          <w:tcPr/>
          <w:bookmarkStart w:id="109" w:name="fig-trilingual"/>
          <w:p>
            <w:pPr>
              <w:pStyle w:val="Compact"/>
              <w:jc w:val="center"/>
            </w:pPr>
            <w:r>
              <w:drawing>
                <wp:inline>
                  <wp:extent cx="4533900" cy="2496708"/>
                  <wp:effectExtent b="0" l="0" r="0" t="0"/>
                  <wp:docPr descr="" title="" id="107" name="Picture"/>
                  <a:graphic>
                    <a:graphicData uri="http://schemas.openxmlformats.org/drawingml/2006/picture">
                      <pic:pic>
                        <pic:nvPicPr>
                          <pic:cNvPr descr="../outputs/figures/validacion_trilingual_correlacion.png" id="108" name="Picture"/>
                          <pic:cNvPicPr>
                            <a:picLocks noChangeArrowheads="1" noChangeAspect="1"/>
                          </pic:cNvPicPr>
                        </pic:nvPicPr>
                        <pic:blipFill>
                          <a:blip r:embed="rId106"/>
                          <a:stretch>
                            <a:fillRect/>
                          </a:stretch>
                        </pic:blipFill>
                        <pic:spPr bwMode="auto">
                          <a:xfrm>
                            <a:off x="0" y="0"/>
                            <a:ext cx="4533900" cy="2496708"/>
                          </a:xfrm>
                          <a:prstGeom prst="rect">
                            <a:avLst/>
                          </a:prstGeom>
                          <a:noFill/>
                          <a:ln w="9525">
                            <a:noFill/>
                            <a:headEnd/>
                            <a:tailEnd/>
                          </a:ln>
                        </pic:spPr>
                      </pic:pic>
                    </a:graphicData>
                  </a:graphic>
                </wp:inline>
              </w:drawing>
            </w:r>
          </w:p>
          <w:p>
            <w:pPr>
              <w:jc w:val="center"/>
            </w:pPr>
            <w:pPr>
              <w:jc w:val="start"/>
              <w:spacing w:before="200"/>
              <w:pStyle w:val="ImageCaption"/>
            </w:pPr>
            <w: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109"/>
        </w:tc>
      </w:tr>
    </w:tbl>
    <w:bookmarkEnd w:id="110"/>
    <w:bookmarkStart w:id="114" w:name="X1020d49cecb0d2ee1efa224658e147bf534d0df"/>
    <w:p>
      <w:pPr>
        <w:pStyle w:val="Heading2"/>
      </w:pPr>
      <w:r>
        <w:t xml:space="preserve">8.9 Validación con datos NASA: detección de inundación SAR</w:t>
      </w:r>
    </w:p>
    <w:p>
      <w:pPr>
        <w:pStyle w:val="FirstParagraph"/>
      </w:pPr>
      <w: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tbl>
      <w:tblPr>
        <w:tblStyle w:val="Table"/>
        <w:tblW w:type="pct" w:w="5000"/>
        <w:tblLook w:firstRow="0" w:lastRow="0" w:firstColumn="0" w:lastColumn="0" w:noHBand="0" w:noVBand="0" w:val="0000"/>
        <w:jc w:val="start"/>
        <w:tblLayout w:type="fixed"/>
      </w:tblPr>
      <w:tblGrid>
        <w:gridCol w:w="7920"/>
      </w:tblGrid>
      <w:tr>
        <w:tc>
          <w:tcPr/>
          <w:bookmarkStart w:id="111" w:name="tbl-gfd"/>
          <w:p>
            <w:pPr>
              <w:jc w:val="center"/>
            </w:pPr>
            <w:pPr>
              <w:jc w:val="start"/>
              <w:spacing w:before="200"/>
              <w:pStyle w:val="ImageCaption"/>
            </w:pPr>
            <w:r>
              <w:t xml:space="preserve">Tabla 16: Eventos de inundación con mayor área afectada dentro del AOI acotado (Global Flood Database, 2001–2017).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111"/>
          <w:p/>
        </w:tc>
      </w:tr>
    </w:tbl>
    <w:p>
      <w:pPr>
        <w:pStyle w:val="BodyText"/>
      </w:pPr>
      <w: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w:t>
      </w:r>
      <w:r>
        <w:t xml:space="preserve"> </w:t>
      </w:r>
      <w:r>
        <w:rPr>
          <w:iCs/>
          <w:i/>
        </w:rPr>
        <w:t xml:space="preserve">scattering</w:t>
      </w:r>
      <w:r>
        <w:t xml:space="preserve"> </w:t>
      </w:r>
      <w:r>
        <w:t xml:space="preserve">de doble rebote agua-tronco),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inland que también producen diferencia SAR negativa por dinámica de vegetación natural sin relación con la inundación La Niña. El cruce con las anomalías NDVI revela patrones diferenciados por estación que se discuten en la tabla</w:t>
      </w:r>
      <w:r>
        <w:t xml:space="preserve"> </w:t>
      </w:r>
      <w:hyperlink w:anchor="tbl-cruce">
        <w:r>
          <w:rPr>
            <w:rStyle w:val="Hyperlink"/>
          </w:rPr>
          <w:t xml:space="preserve">tabla 18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112" w:name="tbl-sar"/>
          <w:p>
            <w:pPr>
              <w:jc w:val="center"/>
            </w:pPr>
            <w:pPr>
              <w:jc w:val="start"/>
              <w:spacing w:before="200"/>
              <w:pStyle w:val="ImageCaption"/>
            </w:pPr>
            <w:r>
              <w:t xml:space="preserve">Tabla 17: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112"/>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3" w:name="tbl-cruce"/>
          <w:p>
            <w:pPr>
              <w:jc w:val="center"/>
            </w:pPr>
            <w:pPr>
              <w:jc w:val="start"/>
              <w:spacing w:before="200"/>
              <w:pStyle w:val="ImageCaption"/>
            </w:pPr>
            <w:r>
              <w:t xml:space="preserve">Tabla 18: Cruce de señal SAR, NDVI y frecuencia de inundación histórica por estación, restringido al AOI acotado SFF + VPI Salamanca. Solo dos de las ocho estaciones quedan estrictamente dentro del polígono protegido oficial —Caño Palos al sur del Santuario y VIPIS sobre el Vía Parque—; ambas presentan un SAR diff positivo cercano a cero durante septiembre–octubre de 2020, lo que descarta inundación bajo dosel detectable por SAR en ese par de puntos. Las seis estaciones restantes caen fuera del polígono acotado y por tanto el</w:t>
            </w:r>
            <w:r>
              <w:t xml:space="preserve"> </w:t>
            </w:r>
            <w:r>
              <w:rPr>
                <w:rStyle w:val="VerbatimChar"/>
              </w:rPr>
              <w:t xml:space="preserve">clip(aoi)</w:t>
            </w:r>
            <w:r>
              <w:t xml:space="preserve"> </w:t>
            </w:r>
            <w:r>
              <w:t xml:space="preserve">aplicado a la imagen de diferencia SAR retorna</w:t>
            </w:r>
            <w:r>
              <w:t xml:space="preserve"> </w:t>
            </w:r>
            <w:r>
              <w:rPr>
                <w:rStyle w:val="VerbatimChar"/>
              </w:rPr>
              <w:t xml:space="preserve">None</w:t>
            </w:r>
            <w:r>
              <w:t xml:space="preserve"> </w:t>
            </w:r>
            <w:r>
              <w:t xml:space="preserve">en sus buffers, asimismo este resultado es un hallazgo metodológico relevante: las estaciones INVEMAR-GBIF fueron diseñadas como puntos de monitoreo limnológico sobre la lámina de agua del sistema lagunar central, fuera de los polígonos oficiales de protección, así su uso para monitorear el manglar requiere mediar la lectura mediante buffers amplios o ampliar el AOI más allá de RUNAP.</w:t>
            </w:r>
          </w:p>
          <w:tbl>
            <w:tblPr>
              <w:tblStyle w:val="Table"/>
              <w:tblW w:type="pct" w:w="5000"/>
              <w:tblLook w:firstRow="1" w:lastRow="0" w:firstColumn="0" w:lastColumn="0" w:noHBand="0" w:noVBand="0" w:val="0020"/>
              <w:jc w:val="start"/>
              <w:tblLayout w:type="fixed"/>
            </w:tblPr>
            <w:tblGrid>
              <w:gridCol w:w="950"/>
              <w:gridCol w:w="871"/>
              <w:gridCol w:w="792"/>
              <w:gridCol w:w="712"/>
              <w:gridCol w:w="871"/>
              <w:gridCol w:w="792"/>
              <w:gridCol w:w="2930"/>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113"/>
          <w:p/>
        </w:tc>
      </w:tr>
    </w:tbl>
    <w:bookmarkEnd w:id="114"/>
    <w:bookmarkStart w:id="116" w:name="X5f77a84a9ded526816d969bfafd71f650e1fef9"/>
    <w:p>
      <w:pPr>
        <w:pStyle w:val="Heading2"/>
      </w:pPr>
      <w:r>
        <w:t xml:space="preserve">8.10 Dinamica hídrica: transiciones JRC en zonas de manglar</w:t>
      </w:r>
    </w:p>
    <w:p>
      <w:pPr>
        <w:pStyle w:val="FirstParagraph"/>
      </w:pPr>
      <w:r>
        <w:t xml:space="preserve">El análisis de las transiciones del JRC Global Surface Water restringido al AOI acotado revela una dinámica hídrica donde la pérdida y la ganancia de cuerpos de agua son aproximadamente del mismo orden, de esta manera el sistema lagunar se redistribuye más que se contrae. Se identifican 18,55 km² de agua permanente pérdida —cuerpos que se secaron entre 1984 y 2021— y 29,38 km² de agua estacional pérdida, en tanto que 23,55 km² aparecen como nuevo permanente y 31,31 km² como nuevo estacional; sumando, el sistema gana 54,86 km² y pierde 47,93 km² para un balance neto positivo de aproximadamente 7 km². De manera complementaria, 49,30 km² se clasifican como efímero estacional —zonas donde la inundación es esporádica y no sigue un patrón estacional definido— y 18,54 km² muestran transición de régimen permanente a estacional, lo que sugiere un retroceso parcial de la lámina de agua permanente. Estos hallazgos son coherentes con el contexto hidrológico de un humedal en proceso de rehabilitación tras la reapertura de canales (1996–1998) que reintrodujo la conexión con el río Magdalena, así la dinámica observada en la ventana JRC captura los efectos combinados de la intervención y de los episodios ENSO posteriores.</w:t>
      </w:r>
    </w:p>
    <w:tbl>
      <w:tblPr>
        <w:tblStyle w:val="Table"/>
        <w:tblW w:type="pct" w:w="5000"/>
        <w:tblLook w:firstRow="0" w:lastRow="0" w:firstColumn="0" w:lastColumn="0" w:noHBand="0" w:noVBand="0" w:val="0000"/>
        <w:jc w:val="start"/>
        <w:tblLayout w:type="fixed"/>
      </w:tblPr>
      <w:tblGrid>
        <w:gridCol w:w="7920"/>
      </w:tblGrid>
      <w:tr>
        <w:tc>
          <w:tcPr/>
          <w:bookmarkStart w:id="115" w:name="tbl-jrc"/>
          <w:p>
            <w:pPr>
              <w:jc w:val="center"/>
            </w:pPr>
            <w:pPr>
              <w:jc w:val="start"/>
              <w:spacing w:before="200"/>
              <w:pStyle w:val="ImageCaption"/>
            </w:pPr>
            <w:r>
              <w:t xml:space="preserve">Tabla 19: Transiciones JRC Global Surface Water (1984–2021) dentro del AOI acotado SFF + VPI Salamanca. El AOI acotado contiene 385,3 km² de agua permanente (&gt;75 % del tiempo) y 44,1 km² de agua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4233"/>
              <w:gridCol w:w="1502"/>
              <w:gridCol w:w="2184"/>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115"/>
          <w:p/>
        </w:tc>
      </w:tr>
    </w:tbl>
    <w:bookmarkEnd w:id="116"/>
    <w:bookmarkStart w:id="117" w:name="X9ba63427b08fac58229a67aa4d09222c3d6a6b3"/>
    <w:p>
      <w:pPr>
        <w:pStyle w:val="Heading2"/>
      </w:pPr>
      <w:r>
        <w:t xml:space="preserve">8.11 Ganancia y pérdida de manglar (2020 vs 2024–2025)</w:t>
      </w:r>
    </w:p>
    <w:p>
      <w:pPr>
        <w:pStyle w:val="FirstParagraph"/>
      </w:pPr>
      <w:r>
        <w:t xml:space="preserve">Entre el periodo de degradación y el estado actual se cuantifican 183,2 km² de pérdida y 259,2 km² de ganancia de manglar, sobre una base estable de 690,9 km², lo que resulta en un cambio neto positivo de +76,0 km².</w:t>
      </w:r>
    </w:p>
    <w:bookmarkEnd w:id="117"/>
    <w:bookmarkStart w:id="119" w:name="Xff8fedec816b379b4dd0634548dc750ba92c5ee"/>
    <w:p>
      <w:pPr>
        <w:pStyle w:val="Heading2"/>
      </w:pPr>
      <w:r>
        <w:t xml:space="preserve">8.12 Validación doble contra cartografía oficial (INVEMAR 1:25.000) y global (ESA WorldCover v200)</w:t>
      </w:r>
    </w:p>
    <w:p>
      <w:pPr>
        <w:pStyle w:val="FirstParagraph"/>
      </w:pPr>
      <w:r>
        <w:t xml:space="preserve">La clasificación por umbrales espectrales se valida sobre el AOI acotado contra</w:t>
      </w:r>
      <w:r>
        <w:t xml:space="preserve"> </w:t>
      </w:r>
      <w:r>
        <w:rPr>
          <w:bCs/>
          <w:b/>
        </w:rPr>
        <w:t xml:space="preserve">ESA WorldCover v200</w:t>
      </w:r>
      <w:r>
        <w:t xml:space="preserve"> </w:t>
      </w:r>
      <w: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dataset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t xml:space="preserve"> </w:t>
      </w:r>
      <w:r>
        <w:rPr>
          <w:rStyle w:val="VerbatimChar"/>
        </w:rPr>
        <w:t xml:space="preserve">reduceRegion</w:t>
      </w:r>
      <w:r>
        <w:t xml:space="preserve"> </w:t>
      </w:r>
      <w: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t xml:space="preserve">Los resultados sobre el AOI acotado mejoran sustancialmente respecto al baseline envolvente de la iteración preliminar: el F1-score pasa de 0,442 a</w:t>
      </w:r>
      <w:r>
        <w:t xml:space="preserve"> </w:t>
      </w:r>
      <w:r>
        <w:rPr>
          <w:bCs/>
          <w:b/>
        </w:rPr>
        <w:t xml:space="preserve">0,548</w:t>
      </w:r>
      <w:r>
        <w:t xml:space="preserve"> </w:t>
      </w:r>
      <w:r>
        <w:t xml:space="preserve">(+24 %), la Precisión (acuerdo positivo predictivo) sube de 0,428 a</w:t>
      </w:r>
      <w:r>
        <w:t xml:space="preserve"> </w:t>
      </w:r>
      <w:r>
        <w:rPr>
          <w:bCs/>
          <w:b/>
        </w:rPr>
        <w:t xml:space="preserve">0,768</w:t>
      </w:r>
      <w:r>
        <w:t xml:space="preserve"> </w:t>
      </w:r>
      <w:r>
        <w:t xml:space="preserve">(+79 %) y la Specificity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Overall Accuracy desciende de 0,899 a 0,788 únicamente porque la prevalencia de la clase positiva pasa de cerca del 8 % en el AOI envolvente a aproximadamente el 30 % en el AOI acotado, lo cual hace de OA una métrica menos engañosa y más informativa pues deja de estar dominada por el acuerdo trivial sobre la clase mayoritaria.</w:t>
      </w:r>
    </w:p>
    <w:p>
      <w:pPr>
        <w:pStyle w:val="BodyText"/>
      </w:pPr>
      <w:r>
        <w:t xml:space="preserve">Conviene precisar tres aspectos del alcance de la validación. En primer lugar, la métrica reportada se calcula sobre la clasificación por umbrales espectrales con restricciónes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t xml:space="preserve">Adicionalmente al cálculo de la matriz contra WorldCover, se descarga la cartografía oficial colombiana de manglares a escala 1:25.000 públicada por el Instituto de Investigaciones Marinas y Costeras (INVEMAR, 2020) mediante el servicio ArcGIS REST</w:t>
      </w:r>
      <w:r>
        <w:t xml:space="preserve"> </w:t>
      </w:r>
      <w:r>
        <w:rPr>
          <w:rStyle w:val="VerbatimChar"/>
        </w:rPr>
        <w:t xml:space="preserve">SIGMA/MANGLARES_COLOMBIA</w:t>
      </w:r>
      <w:r>
        <w:t xml:space="preserve">, asimismo el clasificador se evalúa simultáneamente contra dos referencias independientes —una global con criterio supervisado a 10 m y una nacional con criterio fotointerpretado a escala 1:25.000—, lo cual ofrece una validación robusta y permite establecer un techo metodológico realista para el F1 esperable. La cartografía INVEMAR se rasteriza sobre la misma grilla de WorldCover a 25 m de resolución usando</w:t>
      </w:r>
      <w:r>
        <w:t xml:space="preserve"> </w:t>
      </w:r>
      <w:r>
        <w:rPr>
          <w:rStyle w:val="VerbatimChar"/>
        </w:rPr>
        <w:t xml:space="preserve">rasterio.features.rasterize</w:t>
      </w:r>
      <w:r>
        <w:t xml:space="preserve"> </w:t>
      </w:r>
      <w:r>
        <w:t xml:space="preserve">con el parámetro</w:t>
      </w:r>
      <w:r>
        <w:t xml:space="preserve"> </w:t>
      </w:r>
      <w:r>
        <w:rPr>
          <w:rStyle w:val="VerbatimChar"/>
        </w:rPr>
        <w:t xml:space="preserve">all_touched=True</w:t>
      </w:r>
      <w:r>
        <w:t xml:space="preserve"> </w:t>
      </w:r>
      <w:r>
        <w:t xml:space="preserve">y limpieza prevía de geometrías inválidas con</w:t>
      </w:r>
      <w:r>
        <w:t xml:space="preserve"> </w:t>
      </w:r>
      <w:r>
        <w:rPr>
          <w:rStyle w:val="VerbatimChar"/>
        </w:rPr>
        <w:t xml:space="preserve">shapely.validation.make_valid</w:t>
      </w:r>
      <w:r>
        <w:t xml:space="preserve">, así los nueve MultiPolygon presentes —que concentran el 86 % del área total y serían descartados silenciosamente por una rasterización ingenua— quedan correctamente incorporados a la comparación.</w:t>
      </w:r>
    </w:p>
    <w:tbl>
      <w:tblPr>
        <w:tblStyle w:val="Table"/>
        <w:tblW w:type="pct" w:w="5000"/>
        <w:tblLook w:firstRow="0" w:lastRow="0" w:firstColumn="0" w:lastColumn="0" w:noHBand="0" w:noVBand="0" w:val="0000"/>
        <w:jc w:val="start"/>
        <w:tblLayout w:type="fixed"/>
      </w:tblPr>
      <w:tblGrid>
        <w:gridCol w:w="7920"/>
      </w:tblGrid>
      <w:tr>
        <w:tc>
          <w:tcPr/>
          <w:bookmarkStart w:id="118" w:name="tbl-validación"/>
          <w:p>
            <w:pPr>
              <w:jc w:val="center"/>
            </w:pPr>
            <w:pPr>
              <w:jc w:val="start"/>
              <w:spacing w:before="200"/>
              <w:pStyle w:val="ImageCaption"/>
            </w:pPr>
            <w:r>
              <w:t xml:space="preserve">Tabla 20: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baseline envolvente corresponde a la iteración preliminar sobre 5.073 km²; las dos columnas vigentes corresponden al AOI acotado SFF + VPI (835 km²) y constituyen la validación doble del informe v6.</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Baseline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Overall Accuracy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(Producer’s)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(User’s)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Specificity</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118"/>
          <w:p/>
        </w:tc>
      </w:tr>
    </w:tbl>
    <w:p>
      <w:pPr>
        <w:pStyle w:val="BodyText"/>
      </w:pPr>
      <w:r>
        <w:t xml:space="preserve">Como medida de</w:t>
      </w:r>
      <w:r>
        <w:t xml:space="preserve"> </w:t>
      </w:r>
      <w:r>
        <w:rPr>
          <w:bCs/>
          <w:b/>
        </w:rPr>
        <w:t xml:space="preserve">techo metodológico</w:t>
      </w:r>
      <w:r>
        <w:t xml:space="preserve">, conviene reportar también el acuerdo directo entre las dos cartografías de referencia: la matriz de confusión INVEMAR 1:25.000 vs ESA WorldCover v200 sobre el AOI acotado arroja un F1-score de</w:t>
      </w:r>
      <w:r>
        <w:t xml:space="preserve"> </w:t>
      </w:r>
      <w:r>
        <w:rPr>
          <w:bCs/>
          <w:b/>
        </w:rPr>
        <w:t xml:space="preserve">0,833</w:t>
      </w:r>
      <w:r>
        <w:t xml:space="preserve"> </w:t>
      </w:r>
      <w:r>
        <w:t xml:space="preserve">(Precisión = 0,833, Recall = 0,832, Specificity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119"/>
    <w:bookmarkStart w:id="125" w:name="Xd5feb7c9336cadb475d1af79d310ebc1e586570"/>
    <w:p>
      <w:pPr>
        <w:pStyle w:val="Heading2"/>
      </w:pPr>
      <w:r>
        <w:t xml:space="preserve">8.13 Benchmark del clasificador supervisado Random Forest</w:t>
      </w:r>
    </w:p>
    <w:p>
      <w:pPr>
        <w:pStyle w:val="FirstParagraph"/>
      </w:pPr>
      <w:r>
        <w:t xml:space="preserve">Con el propósito de cuantificar la ganancia esperable al sustituir la regla determinística por umbrales NDVI y CMRI por un clasificador supervisado, se implementa un</w:t>
      </w:r>
      <w:r>
        <w:t xml:space="preserve"> </w:t>
      </w:r>
      <w:r>
        <w:rPr>
          <w:bCs/>
          <w:b/>
        </w:rPr>
        <w:t xml:space="preserve">Random Forest</w:t>
      </w:r>
      <w:r>
        <w:t xml:space="preserve"> </w:t>
      </w:r>
      <w:r>
        <w:t xml:space="preserve">dentro de Google Earth Engine sobre la misma imagen mediana Sentinel-2 del periodo actual (2024-2025) y el mismo AOI acotado, siguiendo el notebook reproducible</w:t>
      </w:r>
      <w:r>
        <w:t xml:space="preserve"> </w:t>
      </w:r>
      <w:r>
        <w:rPr>
          <w:rStyle w:val="VerbatimChar"/>
        </w:rPr>
        <w:t xml:space="preserve">11_random_forest_benchmark.ipynb</w:t>
      </w:r>
      <w:r>
        <w:t xml:space="preserve">. El modelo opera con 100 árboles,</w:t>
      </w:r>
      <w:r>
        <w:t xml:space="preserve"> </w:t>
      </w:r>
      <w:r>
        <w:rPr>
          <w:rStyle w:val="VerbatimChar"/>
        </w:rPr>
        <w:t xml:space="preserve">minLeafPopulation = 5</w:t>
      </w:r>
      <w:r>
        <w:t xml:space="preserve"> </w:t>
      </w:r>
      <w:r>
        <w:t xml:space="preserve">y un conjunto de 15 variables predictoras —las diez bandas reflectivas de Sentinel-2 (B2 a B12), los tres índices espectrales (NDVI, NDWI, CMRI) y dos variables auxiliares (elevación SRTM y distancia al agua JRC)—. El entrenamiento utiliza 1.000 puntos estratificados sobre la cartografía oficial INVEMAR 1:25.000 (500 manglar, 500 no manglar), con validación cruzada K-fold (K=5) y métricas reportadas sobre el conjunto retenido en cada partición. El clasificador resultante se aplica píxel a píxel a la imagen completa y se evalúa contra las mismas dos referencias del clasificador por umbrales, en condiciones experimentales idénticas para garantizar comparabilidad.</w:t>
      </w:r>
    </w:p>
    <w:tbl>
      <w:tblPr>
        <w:tblStyle w:val="Table"/>
        <w:tblW w:type="pct" w:w="5000"/>
        <w:tblLook w:firstRow="0" w:lastRow="0" w:firstColumn="0" w:lastColumn="0" w:noHBand="0" w:noVBand="0" w:val="0000"/>
        <w:jc w:val="start"/>
        <w:tblLayout w:type="fixed"/>
      </w:tblPr>
      <w:tblGrid>
        <w:gridCol w:w="7920"/>
      </w:tblGrid>
      <w:tr>
        <w:tc>
          <w:tcPr/>
          <w:bookmarkStart w:id="120" w:name="tbl-benchmark-rf"/>
          <w:p>
            <w:pPr>
              <w:jc w:val="center"/>
            </w:pPr>
            <w:pPr>
              <w:jc w:val="start"/>
              <w:spacing w:before="200"/>
              <w:pStyle w:val="ImageCaption"/>
            </w:pPr>
            <w:r>
              <w:t xml:space="preserve">Tabla 21: Benchmark del clasificador supervisado Random Forest frente al clasificador determinístico por umbrales espectrales, sobre el AOI acotado y la mediana Sentinel-2 del periodo actual 2024-2025. El RF se entrena con 1.000 puntos estratificados sobre ESA WorldCover v200 y validación cruzada K-fold = 5 (F1 medio = 0,931 ± 0,017). Las métricas pixel-a-pixel se calculan sobre n = 10.000 puntos de muestreo aleatorio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Specificity</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12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4" w:name="fig-rf-importance"/>
          <w:p>
            <w:pPr>
              <w:pStyle w:val="Compact"/>
              <w:jc w:val="center"/>
            </w:pPr>
            <w:r>
              <w:drawing>
                <wp:inline>
                  <wp:extent cx="4533900" cy="2798191"/>
                  <wp:effectExtent b="0" l="0" r="0" t="0"/>
                  <wp:docPr descr="" title="" id="122" name="Picture"/>
                  <a:graphic>
                    <a:graphicData uri="http://schemas.openxmlformats.org/drawingml/2006/picture">
                      <pic:pic>
                        <pic:nvPicPr>
                          <pic:cNvPr descr="../outputs/figures/rf_feature_importance.png" id="123" name="Picture"/>
                          <pic:cNvPicPr>
                            <a:picLocks noChangeArrowheads="1" noChangeAspect="1"/>
                          </pic:cNvPicPr>
                        </pic:nvPicPr>
                        <pic:blipFill>
                          <a:blip r:embed="rId121"/>
                          <a:stretch>
                            <a:fillRect/>
                          </a:stretch>
                        </pic:blipFill>
                        <pic:spPr bwMode="auto">
                          <a:xfrm>
                            <a:off x="0" y="0"/>
                            <a:ext cx="4533900" cy="279819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24"/>
        </w:tc>
      </w:tr>
    </w:tbl>
    <w:p>
      <w:pPr>
        <w:pStyle w:val="BodyText"/>
      </w:pPr>
      <w:r>
        <w:t xml:space="preserve">La comparación entre ambos métodos arroja una ganancia consistente del clasificador supervisado: el F1-score asciende de 0,583 a 0,826 contra INVEMAR (+42 %) y de 0,548 a 0,889 contra ESA WorldCover (+62 %), con un patrón análogo en la Overall Accuracy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t xml:space="preserve"> </w:t>
      </w:r>
      <w:hyperlink w:anchor="fig-rf-importance">
        <w:r>
          <w:rPr>
            <w:rStyle w:val="Hyperlink"/>
          </w:rPr>
          <w:t xml:space="preserve">figura 12</w:t>
        </w:r>
      </w:hyperlink>
      <w: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25"/>
    <w:bookmarkStart w:id="131" w:name="serie-temporal-continua-sentinel-1-sar"/>
    <w:p>
      <w:pPr>
        <w:pStyle w:val="Heading2"/>
      </w:pPr>
      <w:r>
        <w:t xml:space="preserve">8.14 Serie temporal continua Sentinel-1 SAR</w:t>
      </w:r>
    </w:p>
    <w:p>
      <w:pPr>
        <w:pStyle w:val="FirstParagraph"/>
      </w:pPr>
      <w:r>
        <w:t xml:space="preserve">Más allá de la detección puntual del evento de inundación de septiembre 2020 reportada en la sección anterior, se construye una</w:t>
      </w:r>
      <w:r>
        <w:t xml:space="preserve"> </w:t>
      </w:r>
      <w:r>
        <w:rPr>
          <w:bCs/>
          <w:b/>
        </w:rPr>
        <w:t xml:space="preserve">serie temporal mensual continua de backscatter Sentinel-1 SAR-VH</w:t>
      </w:r>
      <w:r>
        <w:t xml:space="preserve"> </w:t>
      </w:r>
      <w:r>
        <w:t xml:space="preserve">sobre el AOI acotado para el periodo 2018-2025, mediante el notebook</w:t>
      </w:r>
      <w:r>
        <w:t xml:space="preserve"> </w:t>
      </w:r>
      <w:r>
        <w:rPr>
          <w:rStyle w:val="VerbatimChar"/>
        </w:rPr>
        <w:t xml:space="preserve">12_sentinel1_sar_serie.ipynb</w:t>
      </w:r>
      <w:r>
        <w:t xml:space="preserve">. Se filtra la colección</w:t>
      </w:r>
      <w:r>
        <w:t xml:space="preserve"> </w:t>
      </w:r>
      <w:r>
        <w:rPr>
          <w:rStyle w:val="VerbatimChar"/>
        </w:rPr>
        <w:t xml:space="preserve">COPERNICUS/S1_GRD</w:t>
      </w:r>
      <w:r>
        <w:t xml:space="preserve"> </w:t>
      </w:r>
      <w: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t xml:space="preserve"> </w:t>
      </w:r>
      <w:r>
        <w:rPr>
          <w:rStyle w:val="VerbatimChar"/>
        </w:rPr>
        <w:t xml:space="preserve">outputs/tables/sar_vs_ndvi_correlacion.csv</w:t>
      </w:r>
      <w:r>
        <w:t xml:space="preserve">, y permite caracterizar el desfase temporal entre la señal radárica —sensible a la humedad y estructura del dosel— y la respuesta óptica del vigor vegetativo. La figura</w:t>
      </w:r>
      <w:r>
        <w:t xml:space="preserve"> </w:t>
      </w:r>
      <w:hyperlink w:anchor="fig-sar-serie">
        <w:r>
          <w:rPr>
            <w:rStyle w:val="Hyperlink"/>
          </w:rPr>
          <w:t xml:space="preserve">figura 13</w:t>
        </w:r>
      </w:hyperlink>
      <w:r>
        <w:t xml:space="preserve"> </w:t>
      </w:r>
      <w:r>
        <w:t xml:space="preserve">muestra la serie completa sobre cinco estaciones representativas con las anomalías codificadas por color, de manera que la integración del SAR como serie continua complementa el monitoreo óptico y aporta sensibilidad ante perturbaciones sub-canopy que el NDVI por sí solo no detecta.</w:t>
      </w:r>
    </w:p>
    <w:tbl>
      <w:tblPr>
        <w:tblStyle w:val="Table"/>
        <w:tblW w:type="pct" w:w="5000"/>
        <w:tblLook w:firstRow="0" w:lastRow="0" w:firstColumn="0" w:lastColumn="0" w:noHBand="0" w:noVBand="0" w:val="0000"/>
        <w:jc w:val="start"/>
        <w:tblLayout w:type="fixed"/>
      </w:tblPr>
      <w:tblGrid>
        <w:gridCol w:w="7920"/>
      </w:tblGrid>
      <w:tr>
        <w:tc>
          <w:tcPr/>
          <w:bookmarkStart w:id="129" w:name="fig-sar-serie"/>
          <w:p>
            <w:pPr>
              <w:pStyle w:val="Compact"/>
              <w:jc w:val="center"/>
            </w:pPr>
            <w:r>
              <w:drawing>
                <wp:inline>
                  <wp:extent cx="5067300" cy="4212888"/>
                  <wp:effectExtent b="0" l="0" r="0" t="0"/>
                  <wp:docPr descr="" title="" id="127" name="Picture"/>
                  <a:graphic>
                    <a:graphicData uri="http://schemas.openxmlformats.org/drawingml/2006/picture">
                      <pic:pic>
                        <pic:nvPicPr>
                          <pic:cNvPr descr="../outputs/figures/sar_vh_serie_temporal.png" id="128" name="Picture"/>
                          <pic:cNvPicPr>
                            <a:picLocks noChangeArrowheads="1" noChangeAspect="1"/>
                          </pic:cNvPicPr>
                        </pic:nvPicPr>
                        <pic:blipFill>
                          <a:blip r:embed="rId126"/>
                          <a:stretch>
                            <a:fillRect/>
                          </a:stretch>
                        </pic:blipFill>
                        <pic:spPr bwMode="auto">
                          <a:xfrm>
                            <a:off x="0" y="0"/>
                            <a:ext cx="5067300" cy="4212888"/>
                          </a:xfrm>
                          <a:prstGeom prst="rect">
                            <a:avLst/>
                          </a:prstGeom>
                          <a:noFill/>
                          <a:ln w="9525">
                            <a:noFill/>
                            <a:headEnd/>
                            <a:tailEnd/>
                          </a:ln>
                        </pic:spPr>
                      </pic:pic>
                    </a:graphicData>
                  </a:graphic>
                </wp:inline>
              </w:drawing>
            </w:r>
          </w:p>
          <w:p>
            <w:pPr>
              <w:jc w:val="center"/>
            </w:pPr>
            <w:pPr>
              <w:jc w:val="start"/>
              <w:spacing w:before="200"/>
              <w:pStyle w:val="ImageCaption"/>
            </w:pPr>
            <w: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29"/>
        </w:tc>
      </w:tr>
    </w:tbl>
    <w:p>
      <w:pPr>
        <w:pStyle w:val="BodyText"/>
      </w:pPr>
      <w:r>
        <w:t xml:space="preserve">La inspección visual de la figura</w:t>
      </w:r>
      <w:r>
        <w:t xml:space="preserve"> </w:t>
      </w:r>
      <w:hyperlink w:anchor="fig-sar-serie">
        <w:r>
          <w:rPr>
            <w:rStyle w:val="Hyperlink"/>
          </w:rPr>
          <w:t xml:space="preserve">figura 13</w:t>
        </w:r>
      </w:hyperlink>
      <w:r>
        <w:t xml:space="preserve"> </w:t>
      </w:r>
      <w:r>
        <w:t xml:space="preserve">revela un patrón consistente con la narrativa de recuperación post-La Niña 2020 reportada en el cuerpo del informe: las tres estaciones del Complejo de Pajarales —Caño Palos, CP Aguas Negras y CP Luna— experimentan una transición ascendente sostenida del backscatter VH entre 2020 y 2024, con incrementos del orden de 3 a 5 dB respecto a su línea base de 2018-2019. Este aumento de VH se interpreta como una recuperación estructural del dosel —el manglar denso recupera biomasa leñosa y rugosidad superficial, lo cual incrementa la retrodispersión radárica— complementaria al aumento del NDVI mediano del manglar de 0,60 a 0,80 ya reportado en la figura</w:t>
      </w:r>
      <w:r>
        <w:t xml:space="preserve"> </w:t>
      </w:r>
      <w:hyperlink w:anchor="fig-ndvi-manglar">
        <w:r>
          <w:rPr>
            <w:rStyle w:val="Hyperlink"/>
          </w:rPr>
          <w:t xml:space="preserve">figura 4</w:t>
        </w:r>
      </w:hyperlink>
      <w:r>
        <w:t xml:space="preserve">. El SAR aporta así una evidencia independiente de la regeneración del bosque que la teledetección óptica por sí sola no puede confirmar, dado que el NDVI saturado no discrimina entre dosel ralo y dosel denso. La estación limnológica Punta Cerro, en contraste, mantiene un comportamiento estable en torno a los -21 dB sin tendencia neta, consistente con su naturaleza de cuerpo lagunar permanente.</w:t>
      </w:r>
    </w:p>
    <w:p>
      <w:pPr>
        <w:pStyle w:val="BodyText"/>
      </w:pPr>
      <w:r>
        <w:t xml:space="preserve">El análisis de correlación cruzada de Pearson entre las series mensuales SAR-VH y NDVI z-score, calculado para rezagos de cero a tres meses sobre las ocho estaciones (tabla</w:t>
      </w:r>
      <w:r>
        <w:t xml:space="preserve"> </w:t>
      </w:r>
      <w:hyperlink w:anchor="tbl-sar-ndvi-corr">
        <w:r>
          <w:rPr>
            <w:rStyle w:val="Hyperlink"/>
          </w:rPr>
          <w:t xml:space="preserve">tabla 22</w:t>
        </w:r>
      </w:hyperlink>
      <w:r>
        <w:t xml:space="preserve">), arroja un resultado metodológicamente robusto: las cuatro estaciones del Complejo de Pajarales presentan correlaciones positivas significativas en rezago cero —CP Aguas Negras</w:t>
      </w:r>
      <w:r>
        <w:t xml:space="preserve"> </w:t>
      </w:r>
      <m:oMath>
        <m:r>
          <m:t>ρ</m:t>
        </m:r>
        <m:r>
          <m:rPr>
            <m:sty m:val="p"/>
          </m:rPr>
          <m:t>=</m:t>
        </m:r>
        <m:r>
          <m:rPr>
            <m:sty m:val="p"/>
          </m:rPr>
          <m:t>+</m:t>
        </m:r>
        <m:r>
          <m:t>0</m:t>
        </m:r>
        <m:r>
          <m:rPr>
            <m:sty m:val="p"/>
          </m:rPr>
          <m:t>,</m:t>
        </m:r>
        <m:r>
          <m:t>807</m:t>
        </m:r>
      </m:oMath>
      <w:r>
        <w:t xml:space="preserve">, CP Luna</w:t>
      </w:r>
      <w:r>
        <w:t xml:space="preserve"> </w:t>
      </w:r>
      <m:oMath>
        <m:r>
          <m:t>ρ</m:t>
        </m:r>
        <m:r>
          <m:rPr>
            <m:sty m:val="p"/>
          </m:rPr>
          <m:t>=</m:t>
        </m:r>
        <m:r>
          <m:rPr>
            <m:sty m:val="p"/>
          </m:rPr>
          <m:t>+</m:t>
        </m:r>
        <m:r>
          <m:t>0</m:t>
        </m:r>
        <m:r>
          <m:rPr>
            <m:sty m:val="p"/>
          </m:rPr>
          <m:t>,</m:t>
        </m:r>
        <m:r>
          <m:t>731</m:t>
        </m:r>
      </m:oMath>
      <w:r>
        <w:t xml:space="preserve">, Caño Clarín</w:t>
      </w:r>
      <w:r>
        <w:t xml:space="preserve"> </w:t>
      </w:r>
      <m:oMath>
        <m:r>
          <m:t>ρ</m:t>
        </m:r>
        <m:r>
          <m:rPr>
            <m:sty m:val="p"/>
          </m:rPr>
          <m:t>=</m:t>
        </m:r>
        <m:r>
          <m:rPr>
            <m:sty m:val="p"/>
          </m:rPr>
          <m:t>+</m:t>
        </m:r>
        <m:r>
          <m:t>0</m:t>
        </m:r>
        <m:r>
          <m:rPr>
            <m:sty m:val="p"/>
          </m:rPr>
          <m:t>,</m:t>
        </m:r>
        <m:r>
          <m:t>640</m:t>
        </m:r>
      </m:oMath>
      <w:r>
        <w:t xml:space="preserve"> </w:t>
      </w:r>
      <w:r>
        <w:t xml:space="preserve">y Caño Palos</w:t>
      </w:r>
      <w:r>
        <w:t xml:space="preserve"> </w:t>
      </w:r>
      <m:oMath>
        <m:r>
          <m:t>ρ</m:t>
        </m:r>
        <m:r>
          <m:rPr>
            <m:sty m:val="p"/>
          </m:rPr>
          <m:t>=</m:t>
        </m:r>
        <m:r>
          <m:rPr>
            <m:sty m:val="p"/>
          </m:rPr>
          <m:t>+</m:t>
        </m:r>
        <m:r>
          <m:t>0</m:t>
        </m:r>
        <m:r>
          <m:rPr>
            <m:sty m:val="p"/>
          </m:rPr>
          <m:t>,</m:t>
        </m:r>
        <m:r>
          <m:t>462</m:t>
        </m:r>
      </m:oMath>
      <w:r>
        <w:t xml:space="preserve">, todas con</w:t>
      </w:r>
      <w:r>
        <w:t xml:space="preserve"> </w:t>
      </w:r>
      <m:oMath>
        <m:r>
          <m:t>p</m:t>
        </m:r>
        <m:r>
          <m:rPr>
            <m:sty m:val="p"/>
          </m:rPr>
          <m:t>&lt;</m:t>
        </m:r>
        <m:r>
          <m:t>0</m:t>
        </m:r>
        <m:r>
          <m:rPr>
            <m:sty m:val="p"/>
          </m:rPr>
          <m:t>,</m:t>
        </m:r>
        <m:r>
          <m:t>001</m:t>
        </m:r>
      </m:oMath>
      <w: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t xml:space="preserve">,</w:t>
      </w:r>
      <w:r>
        <w:t xml:space="preserve"> </w:t>
      </w:r>
      <m:oMath>
        <m:r>
          <m:t>p</m:t>
        </m:r>
        <m:r>
          <m:rPr>
            <m:sty m:val="p"/>
          </m:rPr>
          <m:t>&gt;</m:t>
        </m:r>
        <m:r>
          <m:t>0</m:t>
        </m:r>
        <m:r>
          <m:rPr>
            <m:sty m:val="p"/>
          </m:rPr>
          <m:t>,</m:t>
        </m:r>
        <m:r>
          <m:t>17</m:t>
        </m:r>
      </m:oMath>
      <w: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tbl>
      <w:tblPr>
        <w:tblStyle w:val="Table"/>
        <w:tblW w:type="pct" w:w="5000"/>
        <w:tblLook w:firstRow="0" w:lastRow="0" w:firstColumn="0" w:lastColumn="0" w:noHBand="0" w:noVBand="0" w:val="0000"/>
        <w:jc w:val="start"/>
        <w:tblLayout w:type="fixed"/>
      </w:tblPr>
      <w:tblGrid>
        <w:gridCol w:w="7920"/>
      </w:tblGrid>
      <w:tr>
        <w:tc>
          <w:tcPr/>
          <w:bookmarkStart w:id="130" w:name="tbl-sar-ndvi-corr"/>
          <w:p>
            <w:pPr>
              <w:jc w:val="center"/>
            </w:pPr>
            <w:pPr>
              <w:jc w:val="start"/>
              <w:spacing w:before="200"/>
              <w:pStyle w:val="ImageCaption"/>
            </w:pPr>
            <w:r>
              <w:t xml:space="preserve">Tabla 22: Correlación de Pearson entre la serie mensual Sentinel-1 SAR-VH y el NDVI z-score derivado de Sentinel-2 para rezagos temporales de cero a tres meses, calculada sobre las ocho estaciones de muestreo entre 2018 y 2025. Los valores en negrita corresponden a las correlaciones significativas (</w:t>
            </w:r>
            <m:oMath>
              <m:r>
                <m:t>p</m:t>
              </m:r>
              <m:r>
                <m:rPr>
                  <m:sty m:val="p"/>
                </m:rPr>
                <m:t>&lt;</m:t>
              </m:r>
              <m:r>
                <m:t>0</m:t>
              </m:r>
              <m:r>
                <m:rPr>
                  <m:sty m:val="p"/>
                </m:rPr>
                <m:t>,</m:t>
              </m:r>
              <m:r>
                <m:t>001</m:t>
              </m:r>
            </m:oMath>
            <w:r>
              <w:t xml:space="preserve">) sobre las cuatro estaciones de manglar denso del Complejo de Pajarales.</w:t>
            </w:r>
          </w:p>
          <w:tbl>
            <w:tblPr>
              <w:tblStyle w:val="Table"/>
              <w:tblW w:type="pct" w:w="4550"/>
              <w:tblLook w:firstRow="1" w:lastRow="0" w:firstColumn="0" w:lastColumn="0" w:noHBand="0" w:noVBand="0" w:val="0020"/>
              <w:jc w:val="start"/>
              <w:tblLayout w:type="fixed"/>
            </w:tblPr>
            <w:tblGrid>
              <w:gridCol w:w="1425"/>
              <w:gridCol w:w="1029"/>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130"/>
          <w:p/>
        </w:tc>
      </w:tr>
    </w:tbl>
    <w:bookmarkEnd w:id="131"/>
    <w:bookmarkStart w:id="137" w:name="X039b46e5206e04951beddf766be1490befda2d8"/>
    <w:p>
      <w:pPr>
        <w:pStyle w:val="Heading2"/>
      </w:pPr>
      <w:r>
        <w:t xml:space="preserve">8.15 Hacia el Nivel 2 de Digital Twin: módulo de alertas tempranas</w:t>
      </w:r>
    </w:p>
    <w:p>
      <w:pPr>
        <w:pStyle w:val="FirstParagraph"/>
      </w:pPr>
      <w:r>
        <w:t xml:space="preserve">El proyecto incorpora un</w:t>
      </w:r>
      <w:r>
        <w:t xml:space="preserve"> </w:t>
      </w:r>
      <w:r>
        <w:rPr>
          <w:bCs/>
          <w:b/>
        </w:rPr>
        <w:t xml:space="preserve">módulo de detección de alertas tempranas</w:t>
      </w:r>
      <w:r>
        <w:t xml:space="preserve"> </w:t>
      </w:r>
      <w:r>
        <w:t xml:space="preserve">que articula las series temporales NDVI y SAR-VH con los quiebres bfast en una lógica de semáforo aplicable de manera operativa a cada una de las ocho estaciones de monitoreo. El script</w:t>
      </w:r>
      <w:r>
        <w:t xml:space="preserve"> </w:t>
      </w:r>
      <w:r>
        <w:rPr>
          <w:rStyle w:val="VerbatimChar"/>
        </w:rPr>
        <w:t xml:space="preserve">src/python/alertas_manglar.py</w:t>
      </w:r>
      <w:r>
        <w:t xml:space="preserve"> </w:t>
      </w:r>
      <w:r>
        <w:t xml:space="preserve">clasifica el estado actual de cada estación en tres categorías —</w:t>
      </w:r>
      <w:r>
        <w:rPr>
          <w:bCs/>
          <w:b/>
        </w:rPr>
        <w:t xml:space="preserve">estable</w:t>
      </w:r>
      <w:r>
        <w:t xml:space="preserve"> </w:t>
      </w:r>
      <w:r>
        <w:t xml:space="preserve">(🟢),</w:t>
      </w:r>
      <w:r>
        <w:t xml:space="preserve"> </w:t>
      </w:r>
      <w:r>
        <w:rPr>
          <w:bCs/>
          <w:b/>
        </w:rPr>
        <w:t xml:space="preserve">alerta</w:t>
      </w:r>
      <w:r>
        <w:t xml:space="preserve"> </w:t>
      </w:r>
      <w:r>
        <w:t xml:space="preserve">(🟡) o</w:t>
      </w:r>
      <w:r>
        <w:t xml:space="preserve"> </w:t>
      </w:r>
      <w:r>
        <w:rPr>
          <w:bCs/>
          <w:b/>
        </w:rPr>
        <w:t xml:space="preserve">crítica</w:t>
      </w:r>
      <w:r>
        <w:t xml:space="preserve"> </w:t>
      </w:r>
      <w:r>
        <w:t xml:space="preserve">(🔴)— según la severidad de las anomalías observadas en los últimos doce meses: el estado crítico se activa cuando la anomalía NDVI del último mes registra z &lt; -2 o cuando se acumulan dos o más anomalías de esta magnitud en el periodo reciente; el estado de alerta se dispara con anomalías moderadas (z entre -1 y -2) en los últimos tres meses o con una frecuencia de dos anomalías z &lt; -1 en el año; el estado estable corresponde a series sin desviaciones significativas. El producto resultante se materializa en la tabla</w:t>
      </w:r>
      <w:r>
        <w:t xml:space="preserve"> </w:t>
      </w:r>
      <w:r>
        <w:rPr>
          <w:rStyle w:val="VerbatimChar"/>
        </w:rPr>
        <w:t xml:space="preserve">outputs/tables/alertas_estaciones.csv</w:t>
      </w:r>
      <w:r>
        <w:t xml:space="preserve"> </w:t>
      </w:r>
      <w:r>
        <w:t xml:space="preserve">y en el mapa semáforo de la figura</w:t>
      </w:r>
      <w:r>
        <w:t xml:space="preserve"> </w:t>
      </w:r>
      <w:hyperlink w:anchor="fig-alertas">
        <w:r>
          <w:rPr>
            <w:rStyle w:val="Hyperlink"/>
          </w:rPr>
          <w:t xml:space="preserve">figura 14</w:t>
        </w:r>
      </w:hyperlink>
      <w:r>
        <w:t xml:space="preserve">, de manera que el monitor cartográfico estático del informe se transforma en un componente operativo de detección dinámica, característico del nivel 2 del paradigma Digital Twin. Este módulo es ejecutable de forma periódica —por ejemplo, mensualmente al ingresar nuevos composites Sentinel-2 o Sentinel-1— y constituye el prototipo funcional sobre el cual la tesis de Maestría en curso desarrollará la transición al nivel 3 mediante la incorporación de modelos predictivos de tendencia y simulación de escenaríos climáticos.</w:t>
      </w:r>
    </w:p>
    <w:tbl>
      <w:tblPr>
        <w:tblStyle w:val="Table"/>
        <w:tblW w:type="pct" w:w="5000"/>
        <w:tblLook w:firstRow="0" w:lastRow="0" w:firstColumn="0" w:lastColumn="0" w:noHBand="0" w:noVBand="0" w:val="0000"/>
        <w:jc w:val="start"/>
        <w:tblLayout w:type="fixed"/>
      </w:tblPr>
      <w:tblGrid>
        <w:gridCol w:w="7920"/>
      </w:tblGrid>
      <w:tr>
        <w:tc>
          <w:tcPr/>
          <w:bookmarkStart w:id="135" w:name="fig-alertas"/>
          <w:p>
            <w:pPr>
              <w:pStyle w:val="Compact"/>
              <w:jc w:val="center"/>
            </w:pPr>
            <w:r>
              <w:drawing>
                <wp:inline>
                  <wp:extent cx="4533900" cy="3223200"/>
                  <wp:effectExtent b="0" l="0" r="0" t="0"/>
                  <wp:docPr descr="" title="" id="133" name="Picture"/>
                  <a:graphic>
                    <a:graphicData uri="http://schemas.openxmlformats.org/drawingml/2006/picture">
                      <pic:pic>
                        <pic:nvPicPr>
                          <pic:cNvPr descr="../outputs/figures/alertas_semaforo.png" id="134" name="Picture"/>
                          <pic:cNvPicPr>
                            <a:picLocks noChangeArrowheads="1" noChangeAspect="1"/>
                          </pic:cNvPicPr>
                        </pic:nvPicPr>
                        <pic:blipFill>
                          <a:blip r:embed="rId132"/>
                          <a:stretch>
                            <a:fillRect/>
                          </a:stretch>
                        </pic:blipFill>
                        <pic:spPr bwMode="auto">
                          <a:xfrm>
                            <a:off x="0" y="0"/>
                            <a:ext cx="4533900" cy="32232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35"/>
        </w:tc>
      </w:tr>
    </w:tbl>
    <w:p>
      <w:pPr>
        <w:pStyle w:val="BodyText"/>
      </w:pPr>
      <w:r>
        <w:t xml:space="preserve">La ejecución del módulo sobre el corte 2024-12 a 2025-12 arroja un panorama operativo coherente con la narrativa de recuperación post-La Niña 2020 sostenida por el cuerpo del informe: ninguna de las ocho estaciones se encuentra en estado</w:t>
      </w:r>
      <w:r>
        <w:t xml:space="preserve"> </w:t>
      </w:r>
      <w:r>
        <w:rPr>
          <w:bCs/>
          <w:b/>
        </w:rPr>
        <w:t xml:space="preserve">crítico</w:t>
      </w:r>
      <w:r>
        <w:t xml:space="preserve">, cinco se clasifican como</w:t>
      </w:r>
      <w:r>
        <w:t xml:space="preserve"> </w:t>
      </w:r>
      <w:r>
        <w:rPr>
          <w:bCs/>
          <w:b/>
        </w:rPr>
        <w:t xml:space="preserve">estables</w:t>
      </w:r>
      <w:r>
        <w:t xml:space="preserve"> </w:t>
      </w:r>
      <w:r>
        <w:t xml:space="preserve">—CP Aguas Negras (</w:t>
      </w:r>
      <m:oMath>
        <m:r>
          <m:t>z</m:t>
        </m:r>
        <m:r>
          <m:rPr>
            <m:sty m:val="p"/>
          </m:rPr>
          <m:t>=</m:t>
        </m:r>
        <m:r>
          <m:rPr>
            <m:sty m:val="p"/>
          </m:rPr>
          <m:t>+</m:t>
        </m:r>
        <m:r>
          <m:t>1</m:t>
        </m:r>
        <m:r>
          <m:rPr>
            <m:sty m:val="p"/>
          </m:rPr>
          <m:t>,</m:t>
        </m:r>
        <m:r>
          <m:t>63</m:t>
        </m:r>
      </m:oMath>
      <w:r>
        <w:t xml:space="preserve">), CP Luna (</w:t>
      </w:r>
      <m:oMath>
        <m:r>
          <m:t>z</m:t>
        </m:r>
        <m:r>
          <m:rPr>
            <m:sty m:val="p"/>
          </m:rPr>
          <m:t>=</m:t>
        </m:r>
        <m:r>
          <m:rPr>
            <m:sty m:val="p"/>
          </m:rPr>
          <m:t>+</m:t>
        </m:r>
        <m:r>
          <m:t>2</m:t>
        </m:r>
        <m:r>
          <m:rPr>
            <m:sty m:val="p"/>
          </m:rPr>
          <m:t>,</m:t>
        </m:r>
        <m:r>
          <m:t>38</m:t>
        </m:r>
      </m:oMath>
      <w:r>
        <w:t xml:space="preserve">), Caño Palos (</w:t>
      </w:r>
      <m:oMath>
        <m:r>
          <m:t>z</m:t>
        </m:r>
        <m:r>
          <m:rPr>
            <m:sty m:val="p"/>
          </m:rPr>
          <m:t>=</m:t>
        </m:r>
        <m:r>
          <m:rPr>
            <m:sty m:val="p"/>
          </m:rPr>
          <m:t>+</m:t>
        </m:r>
        <m:r>
          <m:t>1</m:t>
        </m:r>
        <m:r>
          <m:rPr>
            <m:sty m:val="p"/>
          </m:rPr>
          <m:t>,</m:t>
        </m:r>
        <m:r>
          <m:t>25</m:t>
        </m:r>
      </m:oMath>
      <w:r>
        <w:t xml:space="preserve">), Isla Boquerón (</w:t>
      </w:r>
      <m:oMath>
        <m:r>
          <m:t>z</m:t>
        </m:r>
        <m:r>
          <m:rPr>
            <m:sty m:val="p"/>
          </m:rPr>
          <m:t>=</m:t>
        </m:r>
        <m:r>
          <m:rPr>
            <m:sty m:val="p"/>
          </m:rPr>
          <m:t>+</m:t>
        </m:r>
        <m:r>
          <m:t>0</m:t>
        </m:r>
        <m:r>
          <m:rPr>
            <m:sty m:val="p"/>
          </m:rPr>
          <m:t>,</m:t>
        </m:r>
        <m:r>
          <m:t>81</m:t>
        </m:r>
      </m:oMath>
      <w:r>
        <w:t xml:space="preserve">) y Punta Cerro (</w:t>
      </w:r>
      <m:oMath>
        <m:r>
          <m:t>z</m:t>
        </m:r>
        <m:r>
          <m:rPr>
            <m:sty m:val="p"/>
          </m:rPr>
          <m:t>=</m:t>
        </m:r>
        <m:r>
          <m:rPr>
            <m:sty m:val="p"/>
          </m:rPr>
          <m:t>+</m:t>
        </m:r>
        <m:r>
          <m:t>0</m:t>
        </m:r>
        <m:r>
          <m:rPr>
            <m:sty m:val="p"/>
          </m:rPr>
          <m:t>,</m:t>
        </m:r>
        <m:r>
          <m:t>15</m:t>
        </m:r>
      </m:oMath>
      <w:r>
        <w:t xml:space="preserve">)— y tres permanecen bajo</w:t>
      </w:r>
      <w:r>
        <w:t xml:space="preserve"> </w:t>
      </w:r>
      <w:r>
        <w:rPr>
          <w:bCs/>
          <w:b/>
        </w:rPr>
        <w:t xml:space="preserve">alerta</w:t>
      </w:r>
      <w:r>
        <w:t xml:space="preserve"> </w:t>
      </w:r>
      <w:r>
        <w:t xml:space="preserve">—Caño Clarín, Punta Chino y Río Sevilla—. El análisis del subgrupo de alertas muestra que ninguna responde a una caída drástica del NDVI en el último mes (los</w:t>
      </w:r>
      <w:r>
        <w:t xml:space="preserve"> </w:t>
      </w:r>
      <m:oMath>
        <m:r>
          <m:t>z</m:t>
        </m:r>
      </m:oMath>
      <w:r>
        <w:t xml:space="preserve"> </w:t>
      </w:r>
      <w:r>
        <w:t xml:space="preserve">actuales se mantienen positivos) sino a la persistencia de anomalías históricas en los doce meses previos (entre una y dos anomalías</w:t>
      </w:r>
      <w:r>
        <w:t xml:space="preserve"> </w:t>
      </w:r>
      <m:oMath>
        <m:r>
          <m:t>z</m:t>
        </m:r>
        <m:r>
          <m:rPr>
            <m:sty m:val="p"/>
          </m:rPr>
          <m:t>&lt;</m:t>
        </m:r>
        <m:r>
          <m:rPr>
            <m:sty m:val="p"/>
          </m:rPr>
          <m:t>−</m:t>
        </m:r>
        <m:r>
          <m:t>1</m:t>
        </m:r>
        <m:r>
          <m:rPr>
            <m:sty m:val="p"/>
          </m:rPr>
          <m:t>,</m:t>
        </m:r>
        <m:r>
          <m:t>38</m:t>
        </m:r>
      </m:oMath>
      <w:r>
        <w:t xml:space="preserve">), comportamiento esperable en estaciones de borde lagunar y transición fluvial donde la variabilidad estacional natural es más amplia. Es destacable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fotografía cuantitativa del estado del ecosistema sustentada en una lógica reproducible, ejecutable mensualmente al ingreso de cada nuevo composite Sentinel-2.</w:t>
      </w:r>
    </w:p>
    <w:tbl>
      <w:tblPr>
        <w:tblStyle w:val="Table"/>
        <w:tblW w:type="pct" w:w="5000"/>
        <w:tblLook w:firstRow="0" w:lastRow="0" w:firstColumn="0" w:lastColumn="0" w:noHBand="0" w:noVBand="0" w:val="0000"/>
        <w:jc w:val="start"/>
        <w:tblLayout w:type="fixed"/>
      </w:tblPr>
      <w:tblGrid>
        <w:gridCol w:w="7920"/>
      </w:tblGrid>
      <w:tr>
        <w:tc>
          <w:tcPr/>
          <w:bookmarkStart w:id="136" w:name="tbl-alertas"/>
          <w:p>
            <w:pPr>
              <w:jc w:val="center"/>
            </w:pPr>
            <w:pPr>
              <w:jc w:val="start"/>
              <w:spacing w:before="200"/>
              <w:pStyle w:val="ImageCaption"/>
            </w:pPr>
            <w:r>
              <w:t xml:space="preserve">Tabla 23: Estado actual del manglar de la CGSM por estación de monitoreo según el módulo de alertas tempranas, calculado sobre el corte temporal 2024-12 a 2025-12 utilizando las series NDVI y SAR-VH ya construidas. El campo</w:t>
            </w:r>
            <w:r>
              <w:t xml:space="preserve"> </w:t>
            </w:r>
            <m:oMath>
              <m:r>
                <m:t>z</m:t>
              </m:r>
            </m:oMath>
            <w:r>
              <w:t xml:space="preserve"> </w:t>
            </w:r>
            <w: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1584"/>
              <w:gridCol w:w="1108"/>
              <w:gridCol w:w="950"/>
              <w:gridCol w:w="1108"/>
              <w:gridCol w:w="3168"/>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 en 12 meses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 en 12 meses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en 12 meses</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m:oMath>
                    <m:r>
                      <m:t>z</m:t>
                    </m:r>
                  </m:oMath>
                  <w:r>
                    <w:t xml:space="preserve"> </w:t>
                  </w:r>
                  <w:r>
                    <w:t xml:space="preserve">mínimo 3 meses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m:oMath>
                    <m:r>
                      <m:t>z</m:t>
                    </m:r>
                  </m:oMath>
                  <w:r>
                    <w:t xml:space="preserve"> </w:t>
                  </w:r>
                  <w:r>
                    <w:t xml:space="preserve">mínimo 3 meses = -1,55; 2 anomalías</w:t>
                  </w:r>
                </w:p>
              </w:tc>
            </w:tr>
          </w:tbl>
          <w:bookmarkEnd w:id="136"/>
          <w:p/>
        </w:tc>
      </w:tr>
    </w:tbl>
    <w:bookmarkEnd w:id="137"/>
    <w:bookmarkStart w:id="138" w:name="dashboard-interactivo"/>
    <w:p>
      <w:pPr>
        <w:pStyle w:val="Heading2"/>
      </w:pPr>
      <w:r>
        <w:t xml:space="preserve">8.16 Dashboard interactivo</w:t>
      </w:r>
    </w:p>
    <w:p>
      <w:pPr>
        <w:pStyle w:val="FirstParagraph"/>
      </w:pPr>
      <w:r>
        <w:t xml:space="preserve">Se generó un dashboard interactivo en formato HTML autocontenido mediante el script</w:t>
      </w:r>
      <w:r>
        <w:t xml:space="preserve"> </w:t>
      </w:r>
      <w:r>
        <w:rPr>
          <w:rStyle w:val="VerbatimChar"/>
        </w:rPr>
        <w:t xml:space="preserve">src/python/make_dashboard_html.py</w:t>
      </w:r>
      <w:r>
        <w:t xml:space="preserve">, que construye el mapa con folium y Earth Engine sirviendo las capas como teselas mediante mapId. La versión vigente del dashboard opera sobre el AOI acotado leído del archivo</w:t>
      </w:r>
      <w:r>
        <w:t xml:space="preserve"> </w:t>
      </w:r>
      <w:r>
        <w:rPr>
          <w:rStyle w:val="VerbatimChar"/>
        </w:rPr>
        <w:t xml:space="preserve">data/raw/cgsm_aoi_acotado_4326.geojson</w:t>
      </w:r>
      <w:r>
        <w:t xml:space="preserve"> </w:t>
      </w:r>
      <w:r>
        <w:t xml:space="preserve">e integra 17 capas temáticas organizadas en cuatro bloques. El bloque de</w:t>
      </w:r>
      <w:r>
        <w:t xml:space="preserve"> </w:t>
      </w:r>
      <w:r>
        <w:rPr>
          <w:bCs/>
          <w:b/>
        </w:rPr>
        <w:t xml:space="preserve">estado del manglar</w:t>
      </w:r>
      <w:r>
        <w:t xml:space="preserve"> </w:t>
      </w:r>
      <w:r>
        <w:t xml:space="preserve">comprende el NDVI por periodo de referencia, el mapa de cambio NDVI (Actual − Degradación) y la clasificación de manglar por periodo (degradación, recuperación, actual). El bloque de</w:t>
      </w:r>
      <w:r>
        <w:t xml:space="preserve"> </w:t>
      </w:r>
      <w:r>
        <w:rPr>
          <w:bCs/>
          <w:b/>
        </w:rPr>
        <w:t xml:space="preserve">dinámica de cobertura</w:t>
      </w:r>
      <w:r>
        <w:t xml:space="preserve"> </w:t>
      </w:r>
      <w:r>
        <w:t xml:space="preserve">comprende las capas de ganancia, pérdida y estabilidad de manglar entre 2020 y 2024–2025. El bloque de</w:t>
      </w:r>
      <w:r>
        <w:t xml:space="preserve"> </w:t>
      </w:r>
      <w:r>
        <w:rPr>
          <w:bCs/>
          <w:b/>
        </w:rPr>
        <w:t xml:space="preserve">inundación</w:t>
      </w:r>
      <w:r>
        <w:t xml:space="preserve"> </w:t>
      </w:r>
      <w:r>
        <w:t xml:space="preserve">comprende la detección SAR de septiembre–octubre 2020 en agua abierta y bajo dosel junto con la frecuencia histórica de inundación de la Global Flood Database 2001–2017 —un mapa de calor amarillo a púrpura que cuenta el número de eventos GFD que afectó cada píxel del AOI—. El bloque de</w:t>
      </w:r>
      <w:r>
        <w:t xml:space="preserve"> </w:t>
      </w:r>
      <w:r>
        <w:rPr>
          <w:bCs/>
          <w:b/>
        </w:rPr>
        <w:t xml:space="preserve">referencia y contexto</w:t>
      </w:r>
      <w:r>
        <w:t xml:space="preserve"> </w:t>
      </w:r>
      <w:r>
        <w:t xml:space="preserve">comprende el polígono del área de estudio, las estaciones de monitoreo separadas por naturaleza espectral y la cartografía oficial de manglares de Colombia a escala 1:25.000 (INVEMAR, 2020) cargada como vectorial con tooltip interactivo que muestra el área en hectáreas, el tipo de cobertura y el departamento de cada polígono. El dashboard se abre directamente en cualquier navegador web sin necesidad de Jupyter ni de software especializado, así constituye una herramienta de consulta accesible para gestores ambientales del Plan de Manejo Ambiental del sitio Ramsar; sus mapId Earth Engine tienen vigencia limitada de algúnas horas, en este sentido conviene regenerar el HTML poco antes de cada sesión de presentación. La versión preliminar del dashboard sobre el AOI envolvente, generada con</w:t>
      </w:r>
      <w:r>
        <w:t xml:space="preserve"> </w:t>
      </w:r>
      <w:r>
        <w:rPr>
          <w:rStyle w:val="VerbatimChar"/>
        </w:rPr>
        <w:t xml:space="preserve">geemap</w:t>
      </w:r>
      <w:r>
        <w:t xml:space="preserve"> </w:t>
      </w:r>
      <w:r>
        <w:t xml:space="preserve">y dependiente de un kernel Jupyter activo (HTML de 2,7 MB con widgets ipyleaflet embebidos), se conserva en el notebook legacy</w:t>
      </w:r>
      <w:r>
        <w:t xml:space="preserve"> </w:t>
      </w:r>
      <w:r>
        <w:rPr>
          <w:rStyle w:val="VerbatimChar"/>
        </w:rPr>
        <w:t xml:space="preserve">06_dashboard.ipynb</w:t>
      </w:r>
      <w:r>
        <w:t xml:space="preserve"> </w:t>
      </w:r>
      <w:r>
        <w:t xml:space="preserve">para trazabilidad metodológica.</w:t>
      </w:r>
    </w:p>
    <w:bookmarkEnd w:id="138"/>
    <w:bookmarkEnd w:id="139"/>
    <w:bookmarkStart w:id="141" w:name="conclusiones"/>
    <w:p>
      <w:pPr>
        <w:pStyle w:val="Heading1"/>
      </w:pPr>
      <w:r>
        <w:t xml:space="preserve">9. Conclusiones</w:t>
      </w:r>
    </w:p>
    <w:p>
      <w:pPr>
        <w:pStyle w:val="FirstParagraph"/>
      </w:pPr>
      <w: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rPr>
        <w:t xml:space="preserve">Quiebres estructurales y anomalías temporales.</w:t>
      </w:r>
      <w:r>
        <w:t xml:space="preserve"> </w:t>
      </w:r>
      <w: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rPr>
        <w:t xml:space="preserve">Contracción del área con consolidación estructural y ganancia de vigor.</w:t>
      </w:r>
      <w:r>
        <w:t xml:space="preserve"> </w:t>
      </w:r>
      <w: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t xml:space="preserve"> </w:t>
      </w:r>
      <w:hyperlink w:anchor="fig-ndvi-cambio">
        <w:r>
          <w:rPr>
            <w:rStyle w:val="Hyperlink"/>
          </w:rPr>
          <w:t xml:space="preserve">figura 2</w:t>
        </w:r>
      </w:hyperlink>
      <w:r>
        <w:t xml:space="preserve">) y en la recuperación del NDVI mediano del manglar (figura</w:t>
      </w:r>
      <w:r>
        <w:t xml:space="preserve"> </w:t>
      </w:r>
      <w:hyperlink w:anchor="fig-ndvi-manglar">
        <w:r>
          <w:rPr>
            <w:rStyle w:val="Hyperlink"/>
          </w:rPr>
          <w:t xml:space="preserve">figura 4</w:t>
        </w:r>
      </w:hyperlink>
      <w: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rPr>
        <w:t xml:space="preserve">Inundación SAR y dinámica hídrica de largo plazo.</w:t>
      </w:r>
      <w:r>
        <w:t xml:space="preserve"> </w:t>
      </w:r>
      <w: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rPr>
        <w:t xml:space="preserve">Validación doble + benchmark Random Forest.</w:t>
      </w:r>
      <w:r>
        <w:t xml:space="preserve"> </w:t>
      </w:r>
      <w:r>
        <w:t xml:space="preserve">La clasificación por umbrales contra INVEMAR 1:25.000 y ESA WorldCover v200 arroja F1-scores convergentes de</w:t>
      </w:r>
      <w:r>
        <w:t xml:space="preserve"> </w:t>
      </w:r>
      <w:r>
        <w:rPr>
          <w:bCs/>
          <w:b/>
        </w:rPr>
        <w:t xml:space="preserve">0,583</w:t>
      </w:r>
      <w:r>
        <w:t xml:space="preserve"> </w:t>
      </w:r>
      <w:r>
        <w:t xml:space="preserve">y</w:t>
      </w:r>
      <w:r>
        <w:t xml:space="preserve"> </w:t>
      </w:r>
      <w:r>
        <w:rPr>
          <w:bCs/>
          <w:b/>
        </w:rPr>
        <w:t xml:space="preserve">0,548</w:t>
      </w:r>
      <w:r>
        <w:t xml:space="preserve"> </w:t>
      </w:r>
      <w:r>
        <w:t xml:space="preserve">respectivamente, con Precisión entre 0,768 y 0,811 y Specificity entre 0,944 y 0,954, mejora del 24 al 32 % sobre el F1 de 0,442 del baseline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t xml:space="preserve"> </w:t>
      </w:r>
      <w:r>
        <w:rPr>
          <w:bCs/>
          <w:b/>
        </w:rPr>
        <w:t xml:space="preserve">0,826</w:t>
      </w:r>
      <w:r>
        <w:t xml:space="preserve"> </w:t>
      </w:r>
      <w:r>
        <w:t xml:space="preserve">frente a INVEMAR y</w:t>
      </w:r>
      <w:r>
        <w:t xml:space="preserve"> </w:t>
      </w:r>
      <w:r>
        <w:rPr>
          <w:bCs/>
          <w:b/>
        </w:rPr>
        <w:t xml:space="preserve">0,889</w:t>
      </w:r>
      <w:r>
        <w:t xml:space="preserve"> </w:t>
      </w:r>
      <w:r>
        <w:t xml:space="preserve">frente a WorldCover (tabla</w:t>
      </w:r>
      <w:r>
        <w:t xml:space="preserve"> </w:t>
      </w:r>
      <w:hyperlink w:anchor="tbl-benchmark-rf">
        <w:r>
          <w:rPr>
            <w:rStyle w:val="Hyperlink"/>
          </w:rPr>
          <w:t xml:space="preserve">tabla 21</w:t>
        </w:r>
      </w:hyperlink>
      <w: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rPr>
        <w:t xml:space="preserve">SAR-VH continuo + alertas tempranas Nivel 2 Digital Twin.</w:t>
      </w:r>
      <w:r>
        <w:t xml:space="preserve"> </w:t>
      </w:r>
      <w:r>
        <w:t xml:space="preserve">La serie temporal continua Sentinel-1 SAR-VH 2018–2025 (figura</w:t>
      </w:r>
      <w:r>
        <w:t xml:space="preserve"> </w:t>
      </w:r>
      <w:hyperlink w:anchor="fig-sar-serie">
        <w:r>
          <w:rPr>
            <w:rStyle w:val="Hyperlink"/>
          </w:rPr>
          <w:t xml:space="preserve">figura 13</w:t>
        </w:r>
      </w:hyperlink>
      <w:r>
        <w:t xml:space="preserve">) sobre las ocho estaciones extiende el uso del radar más allá del evento puntual de septiembre 2020 y aporta sensibilidad ante perturbaciones sub-canopy invisibles al sensor óptico, con correlaciones positivas altamente significativas entre SAR-VH y NDVI sobre el Complejo de Pajarales (CP Aguas Negras</w:t>
      </w:r>
      <w:r>
        <w:t xml:space="preserve"> </w:t>
      </w:r>
      <m:oMath>
        <m:r>
          <m:t>ρ</m:t>
        </m:r>
        <m:r>
          <m:rPr>
            <m:sty m:val="p"/>
          </m:rPr>
          <m:t>=</m:t>
        </m:r>
        <m:r>
          <m:rPr>
            <m:sty m:val="p"/>
          </m:rPr>
          <m:t>+</m:t>
        </m:r>
        <m:r>
          <m:t>0</m:t>
        </m:r>
        <m:r>
          <m:rPr>
            <m:sty m:val="p"/>
          </m:rPr>
          <m:t>,</m:t>
        </m:r>
        <m:r>
          <m:t>807</m:t>
        </m:r>
      </m:oMath>
      <w:r>
        <w:t xml:space="preserve"> </w:t>
      </w:r>
      <w:r>
        <w:t xml:space="preserve">y CP Luna</w:t>
      </w:r>
      <w:r>
        <w:t xml:space="preserve"> </w:t>
      </w:r>
      <m:oMath>
        <m:r>
          <m:t>ρ</m:t>
        </m:r>
        <m:r>
          <m:rPr>
            <m:sty m:val="p"/>
          </m:rPr>
          <m:t>=</m:t>
        </m:r>
        <m:r>
          <m:rPr>
            <m:sty m:val="p"/>
          </m:rPr>
          <m:t>+</m:t>
        </m:r>
        <m:r>
          <m:t>0</m:t>
        </m:r>
        <m:r>
          <m:rPr>
            <m:sty m:val="p"/>
          </m:rPr>
          <m:t>,</m:t>
        </m:r>
        <m:r>
          <m:t>731</m:t>
        </m:r>
      </m:oMath>
      <w:r>
        <w:t xml:space="preserve"> </w:t>
      </w:r>
      <w:r>
        <w:t xml:space="preserve">en rezago cero, ambas con</w:t>
      </w:r>
      <w:r>
        <w:t xml:space="preserve"> </w:t>
      </w:r>
      <m:oMath>
        <m:r>
          <m:t>p</m:t>
        </m:r>
        <m:r>
          <m:rPr>
            <m:sty m:val="p"/>
          </m:rPr>
          <m:t>&lt;</m:t>
        </m:r>
        <m:r>
          <m:t>0</m:t>
        </m:r>
        <m:r>
          <m:rPr>
            <m:sty m:val="p"/>
          </m:rPr>
          <m:t>,</m:t>
        </m:r>
        <m:r>
          <m:t>001</m:t>
        </m:r>
      </m:oMath>
      <w:r>
        <w:t xml:space="preserve">, tabla</w:t>
      </w:r>
      <w:r>
        <w:t xml:space="preserve"> </w:t>
      </w:r>
      <w:hyperlink w:anchor="tbl-sar-ndvi-corr">
        <w:r>
          <w:rPr>
            <w:rStyle w:val="Hyperlink"/>
          </w:rPr>
          <w:t xml:space="preserve">tabla 22</w:t>
        </w:r>
      </w:hyperlink>
      <w:r>
        <w:t xml:space="preserve">). La integración de las series NDVI, SAR-VH y los quiebres bfast en un módulo operativo de alertas tempranas (figura</w:t>
      </w:r>
      <w:r>
        <w:t xml:space="preserve"> </w:t>
      </w:r>
      <w:hyperlink w:anchor="fig-alertas">
        <w:r>
          <w:rPr>
            <w:rStyle w:val="Hyperlink"/>
          </w:rPr>
          <w:t xml:space="preserve">figura 14</w:t>
        </w:r>
      </w:hyperlink>
      <w:r>
        <w:t xml:space="preserve">, tabla</w:t>
      </w:r>
      <w:r>
        <w:t xml:space="preserve"> </w:t>
      </w:r>
      <w:hyperlink w:anchor="tbl-alertas">
        <w:r>
          <w:rPr>
            <w:rStyle w:val="Hyperlink"/>
          </w:rPr>
          <w:t xml:space="preserve">tabla 23</w:t>
        </w:r>
      </w:hyperlink>
      <w:r>
        <w:t xml:space="preserve">) materializa el Nivel 2 del paradigma Digital Twin: la ejecución sobre el corte 2024-12 a 2025-12 arroja cinco estaciones</w:t>
      </w:r>
      <w:r>
        <w:t xml:space="preserve"> </w:t>
      </w:r>
      <w:r>
        <w:rPr>
          <w:bCs/>
          <w:b/>
        </w:rPr>
        <w:t xml:space="preserve">estables</w:t>
      </w:r>
      <w:r>
        <w:t xml:space="preserve"> </w:t>
      </w:r>
      <w:r>
        <w:t xml:space="preserve">—incluidas las cuatro de manglar denso del Complejo de Pajarales—, tres estaciones de borde en</w:t>
      </w:r>
      <w:r>
        <w:t xml:space="preserve"> </w:t>
      </w:r>
      <w:r>
        <w:rPr>
          <w:bCs/>
          <w:b/>
        </w:rPr>
        <w:t xml:space="preserve">alerta</w:t>
      </w:r>
      <w:r>
        <w:t xml:space="preserve"> </w:t>
      </w:r>
      <w:r>
        <w:t xml:space="preserve">—Río Sevilla, Punta Chino y Caño Clarín por persistencia de anomalías históricas— y ninguna en estado</w:t>
      </w:r>
      <w:r>
        <w:t xml:space="preserve"> </w:t>
      </w:r>
      <w:r>
        <w:rPr>
          <w:bCs/>
          <w:b/>
        </w:rPr>
        <w:t xml:space="preserve">crítico</w:t>
      </w:r>
      <w:r>
        <w:t xml:space="preserve">.</w:t>
      </w:r>
    </w:p>
    <w:p>
      <w:pPr>
        <w:pStyle w:val="BodyText"/>
      </w:pPr>
      <w:r>
        <w:rPr>
          <w:bCs/>
          <w:b/>
        </w:rPr>
        <w:t xml:space="preserve">Contraste con la literatura.</w:t>
      </w:r>
      <w:r>
        <w:t xml:space="preserve"> </w:t>
      </w:r>
      <w:r>
        <w:t xml:space="preserve">La cobertura total reportada bajo el AOI acotado —del orden de 4.000 a 12.000 ha según el periodo— es coherente con el rango estimado por el Global Mangrove Watch v3.0 para esta misma área en el ciclo 2018–2020 (Bunting et al., 2022), si bien el F1-score de 0,548 contra ESA WorldCover v200 es inferior al rango 0,80–0,90 reportado por Selvaraj y Gallego-Pérez (2023) para manglares del Pacífico colombiano con clasificador Random Forest sobre Landsat + SAR ALOS-2. La discrepancia se atribuye, primero, a que aquí se opera con umbrales espectrales sin entrenamiento supervisado y, segundo, a que el hábitat del Pacífico presenta menor heterogeneidad espectral con vegetación no-manglar comparada con el complejo lagunar de la CGSM, donde la vegetación riberana, los pastizales inundables y los salitrales comparten firmas espectrales con el manglar maduro. El análisis de tendencias mediante z-scores sobre Sentinel-2 reproduce la aproximación de Raza et al. (2024) sobre el manglar de Pakistán, extendiendo la serie con Landsat 8 hasta doce años —frente a los ocho del estudio original (2016–2023)— y sustituyendo la prueba de Mann-Kendall con pendiente de Sen por z-scores y bfast, lo que permite detectar quiebres estructurales asociados a ENSO previos al periodo Sentinel-2.</w:t>
      </w:r>
    </w:p>
    <w:p>
      <w:pPr>
        <w:pStyle w:val="BodyText"/>
      </w:pPr>
      <w:r>
        <w:rPr>
          <w:bCs/>
          <w:b/>
        </w:rPr>
        <w:t xml:space="preserve">Limitaciones técnicas.</w:t>
      </w:r>
      <w:r>
        <w:t xml:space="preserve"> </w:t>
      </w:r>
      <w:r>
        <w:t xml:space="preserve">Se identifican cuatro: el remuestreo de los composites RGB de 10 a 30 metros por restricciones de memoria para SamGeo (vit_b) que reduce la resolución de la segmentación; la discontinuidad espectral entre Landsat 8 y Sentinel-2 alrededor de 2018 —visible en VIPIS, NDVI medio L8 = 0,090 vs S2 = 0,353— que podría influir en la detección de quiebres por bfast; el F1-score de 0,548 que, si bien mejora en 24 % al baseline envolvente, sigue indicando subestimación de la Recall por el umbral conservador NDVI &gt; 0,70; y la aproximación del cálculo de áreas en Julia mediante conversión de coordenadas geográficas a metros, solucionada en el bloque vigente con reproyección a EPSG:9377.</w:t>
      </w:r>
    </w:p>
    <w:p>
      <w:pPr>
        <w:pStyle w:val="BodyText"/>
      </w:pPr>
      <w:r>
        <w:rPr>
          <w:bCs/>
          <w:b/>
        </w:rPr>
        <w:t xml:space="preserve">Trabajo futuro inmediato.</w:t>
      </w:r>
      <w:r>
        <w:t xml:space="preserve"> </w:t>
      </w:r>
      <w:r>
        <w:t xml:space="preserve">Primero, ampliar la red de estaciones IDEAM más allá de las dos ya integradas —El Banco y Ganadería Caribe, validadas además por precipitación CHIRPS sobre las mismas cuencas aportantes con convergencia entre ambas fuentes (tablas</w:t>
      </w:r>
      <w:r>
        <w:t xml:space="preserve"> </w:t>
      </w:r>
      <w:hyperlink w:anchor="tbl-caudal-corr">
        <w:r>
          <w:rPr>
            <w:rStyle w:val="Hyperlink"/>
          </w:rPr>
          <w:t xml:space="preserve">tabla 14</w:t>
        </w:r>
      </w:hyperlink>
      <w:r>
        <w:t xml:space="preserve"> </w:t>
      </w:r>
      <w:r>
        <w:t xml:space="preserve">y</w:t>
      </w:r>
      <w:r>
        <w:t xml:space="preserve"> </w:t>
      </w:r>
      <w:hyperlink w:anchor="tbl-chirps-corr">
        <w:r>
          <w:rPr>
            <w:rStyle w:val="Hyperlink"/>
          </w:rPr>
          <w:t xml:space="preserve">tabla 15</w:t>
        </w:r>
      </w:hyperlink>
      <w:r>
        <w:t xml:space="preserve">)— incorporando series de los ríos Fundación, Río Frío y los tributarios secundarios del bajo Magdalena. Segundo, profundizar el análisis ENSO con métricas de eventos discretos como duración acumulada de fases La Niña, así como con el Atlantic Multidecadal Oscillation (AMO) que podría modular la dinámica de la cuenca Magdalena. Tercero, refinar el clasificador para mejorar la Recall, en la medida en que el F1 actual de 0,58 frente al techo metodológico de 0,83 sugiere que un ajuste del umbral NDVI a 0,60 o el Random Forest ya implementado podrían aprovechar el margen disponible sin sacrificar la Precisión alcanzada. Cuarto, extender el análisis bfast unificado al periodo 2013–2025 incorporando Landsat 8 sobre las cuatro estaciones de manglar denso. Quinto, ampliar la ventana temporal del periodo</w:t>
      </w:r>
      <w:r>
        <w:t xml:space="preserve"> </w:t>
      </w:r>
      <w:r>
        <w:t xml:space="preserve">“</w:t>
      </w:r>
      <w:r>
        <w:t xml:space="preserve">actual</w:t>
      </w:r>
      <w:r>
        <w:t xml:space="preserve">”</w:t>
      </w:r>
      <w:r>
        <w:t xml:space="preserve"> </w:t>
      </w:r>
      <w:r>
        <w:t xml:space="preserve">a por lo menos dos ciclos anuales adicionales (julio 2025–junio 2027) para diferenciar entre fluctuación intermedia y tendencia estable.</w:t>
      </w:r>
    </w:p>
    <w:p>
      <w:pPr>
        <w:pStyle w:val="BodyText"/>
      </w:pPr>
      <w: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40" w:name="dimensión-humanitaria-del-monitoreo"/>
    <w:p>
      <w:pPr>
        <w:pStyle w:val="Heading2"/>
      </w:pPr>
      <w:r>
        <w:t xml:space="preserve">9.1 Dimensión humanitaria del monitoreo</w:t>
      </w:r>
    </w:p>
    <w:p>
      <w:pPr>
        <w:pStyle w:val="FirstParagraph"/>
      </w:pPr>
      <w: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40"/>
    <w:bookmarkEnd w:id="141"/>
    <w:bookmarkStart w:id="142" w:name="referencias"/>
    <w:p>
      <w:pPr>
        <w:pStyle w:val="Heading1"/>
      </w:pPr>
      <w:r>
        <w:t xml:space="preserve">10. Referencias</w:t>
      </w:r>
    </w:p>
    <w:p>
      <w:pPr>
        <w:pStyle w:val="FirstParagraph"/>
      </w:pPr>
      <w:r>
        <w:t xml:space="preserve">Beltrán, J., Rodríguez, J. C., Carbonó, E., y Blanco, J. (2022).</w:t>
      </w:r>
      <w:r>
        <w:t xml:space="preserve"> </w:t>
      </w:r>
      <w:r>
        <w:rPr>
          <w:iCs/>
          <w:i/>
        </w:rPr>
        <w:t xml:space="preserve">Datos de monitoreo de la estructura de los manglares de la Ciénaga Grande de Santa Marta (Magdalena)</w:t>
      </w:r>
      <w:r>
        <w:t xml:space="preserve"> </w:t>
      </w:r>
      <w:r>
        <w:t xml:space="preserve">[Conjunto de datos]. INVEMAR. https://doi.org/10.15472/0fqdp4</w:t>
      </w:r>
    </w:p>
    <w:p>
      <w:pPr>
        <w:pStyle w:val="BodyText"/>
      </w:pPr>
      <w:r>
        <w:t xml:space="preserve">Bunting, P., Rosenqvist, A., Hilarides, L., Lucas, R. M., Thomas, T., Tadono, T., Worthington, T. A., Spalding, M., Murray, N. J., y Rebelo, L.-M. (2022). Global mangrove extent change 1996–2020: Global Mangrove Watch versión 3.0.</w:t>
      </w:r>
      <w:r>
        <w:t xml:space="preserve"> </w:t>
      </w:r>
      <w:r>
        <w:rPr>
          <w:iCs/>
          <w:i/>
        </w:rPr>
        <w:t xml:space="preserve">Remote Sensing</w:t>
      </w:r>
      <w:r>
        <w:t xml:space="preserve">,</w:t>
      </w:r>
      <w:r>
        <w:t xml:space="preserve"> </w:t>
      </w:r>
      <w:r>
        <w:rPr>
          <w:iCs/>
          <w:i/>
        </w:rPr>
        <w:t xml:space="preserve">14</w:t>
      </w:r>
      <w:r>
        <w:t xml:space="preserve">(15), 3657. https://doi.org/10.3390/rs14153657</w:t>
      </w:r>
    </w:p>
    <w:p>
      <w:pPr>
        <w:pStyle w:val="BodyText"/>
      </w:pPr>
      <w:r>
        <w:t xml:space="preserve">Comisión Conjunta del sitio Ramsar CGSM. (2026, 2 de febrero).</w:t>
      </w:r>
      <w:r>
        <w:t xml:space="preserve"> </w:t>
      </w:r>
      <w:r>
        <w:rPr>
          <w:iCs/>
          <w:i/>
        </w:rPr>
        <w:t xml:space="preserve">Plan de Manejo Ambiental del sitio Ramsar Sistema Delta Estuarino del Río Magdalena, Ciénaga Grande de Santa Marta</w:t>
      </w:r>
      <w:r>
        <w:t xml:space="preserve"> </w:t>
      </w:r>
      <w: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t xml:space="preserve">Lu, B., Francescutto, L., Howie, S., Lin, H., Wu, Q., Hedley, N., Jamali, A., y McDonald, I. (2026). Exploring the concept of digital twins of wetlands for supporting ecosystem monitoring and management.</w:t>
      </w:r>
      <w:r>
        <w:t xml:space="preserve"> </w:t>
      </w:r>
      <w:r>
        <w:rPr>
          <w:iCs/>
          <w:i/>
        </w:rPr>
        <w:t xml:space="preserve">Big Earth Data</w:t>
      </w:r>
      <w:r>
        <w:t xml:space="preserve">,</w:t>
      </w:r>
      <w:r>
        <w:t xml:space="preserve"> </w:t>
      </w:r>
      <w:r>
        <w:rPr>
          <w:iCs/>
          <w:i/>
        </w:rPr>
        <w:t xml:space="preserve">10</w:t>
      </w:r>
      <w:r>
        <w:t xml:space="preserve">(1), 37–67. https://doi.org/10.1080/20964471.2025.2480446</w:t>
      </w:r>
    </w:p>
    <w:p>
      <w:pPr>
        <w:pStyle w:val="BodyText"/>
      </w:pPr>
      <w:r>
        <w:t xml:space="preserve">Murillo-Sandoval, P. J., Fatoyinbo, L., y Simard, M. (2022). Mangroves cover change trajectories 1984–2020: The gradual decrease of mangroves in Colombia.</w:t>
      </w:r>
      <w:r>
        <w:t xml:space="preserve"> </w:t>
      </w:r>
      <w:r>
        <w:rPr>
          <w:iCs/>
          <w:i/>
        </w:rPr>
        <w:t xml:space="preserve">Frontiers in Marine Science</w:t>
      </w:r>
      <w:r>
        <w:t xml:space="preserve">,</w:t>
      </w:r>
      <w:r>
        <w:t xml:space="preserve"> </w:t>
      </w:r>
      <w:r>
        <w:rPr>
          <w:iCs/>
          <w:i/>
        </w:rPr>
        <w:t xml:space="preserve">9</w:t>
      </w:r>
      <w:r>
        <w:t xml:space="preserve">, 892946. https://doi.org/10.3389/fmars.2022.892946</w:t>
      </w:r>
    </w:p>
    <w:p>
      <w:pPr>
        <w:pStyle w:val="BodyText"/>
      </w:pPr>
      <w:r>
        <w:t xml:space="preserve">Funk, C., Peterson, P., Landsfeld, M., Pedreros, D., Verdin, J., Shukla, S., Husak, G., Rowland, J., Harrison, L., Hoell, A., y Michaelsen, J. (2015). The climate hazards infrared precipitation with stations: a new environmental record for monitoring extremes.</w:t>
      </w:r>
      <w:r>
        <w:t xml:space="preserve"> </w:t>
      </w:r>
      <w:r>
        <w:rPr>
          <w:iCs/>
          <w:i/>
        </w:rPr>
        <w:t xml:space="preserve">Scientific Data</w:t>
      </w:r>
      <w:r>
        <w:t xml:space="preserve">,</w:t>
      </w:r>
      <w:r>
        <w:t xml:space="preserve"> </w:t>
      </w:r>
      <w:r>
        <w:rPr>
          <w:iCs/>
          <w:i/>
        </w:rPr>
        <w:t xml:space="preserve">2</w:t>
      </w:r>
      <w:r>
        <w:t xml:space="preserve">, 150066. https://doi.org/10.1038/sdata.2015.66</w:t>
      </w:r>
    </w:p>
    <w:p>
      <w:pPr>
        <w:pStyle w:val="BodyText"/>
      </w:pPr>
      <w:r>
        <w:t xml:space="preserve">Giri, C., Ochieng, E., Tieszen, L. L., Zhu, Z., Singh, A., Loveland, T., Masek, J., y Duke, N. (2011). Status and distribution of mangrove forests of the world using earth observation satellite data.</w:t>
      </w:r>
      <w:r>
        <w:t xml:space="preserve"> </w:t>
      </w:r>
      <w:r>
        <w:rPr>
          <w:iCs/>
          <w:i/>
        </w:rPr>
        <w:t xml:space="preserve">Global Ecology and Biogeography</w:t>
      </w:r>
      <w:r>
        <w:t xml:space="preserve">,</w:t>
      </w:r>
      <w:r>
        <w:t xml:space="preserve"> </w:t>
      </w:r>
      <w:r>
        <w:rPr>
          <w:iCs/>
          <w:i/>
        </w:rPr>
        <w:t xml:space="preserve">20</w:t>
      </w:r>
      <w:r>
        <w:t xml:space="preserve">(1), 154–159. https://doi.org/10.1111/j.1466-8238.2010.00584.x</w:t>
      </w:r>
    </w:p>
    <w:p>
      <w:pPr>
        <w:pStyle w:val="BodyText"/>
      </w:pPr>
      <w:r>
        <w:t xml:space="preserve">Goldberg, L., Lagomasino, D., Thomas, N., y Fatoyinbo, T. (2020). Global declines in human-driven mangrove loss.</w:t>
      </w:r>
      <w:r>
        <w:t xml:space="preserve"> </w:t>
      </w:r>
      <w:r>
        <w:rPr>
          <w:iCs/>
          <w:i/>
        </w:rPr>
        <w:t xml:space="preserve">Global Change Biology</w:t>
      </w:r>
      <w:r>
        <w:t xml:space="preserve">,</w:t>
      </w:r>
      <w:r>
        <w:t xml:space="preserve"> </w:t>
      </w:r>
      <w:r>
        <w:rPr>
          <w:iCs/>
          <w:i/>
        </w:rPr>
        <w:t xml:space="preserve">26</w:t>
      </w:r>
      <w:r>
        <w:t xml:space="preserve">(10), 5844–5855. https://doi.org/10.1111/gcb.15275</w:t>
      </w:r>
    </w:p>
    <w:p>
      <w:pPr>
        <w:pStyle w:val="BodyText"/>
      </w:pPr>
      <w:r>
        <w:t xml:space="preserve">Gomarasca, M. A. (2010).</w:t>
      </w:r>
      <w:r>
        <w:t xml:space="preserve"> </w:t>
      </w:r>
      <w:r>
        <w:rPr>
          <w:iCs/>
          <w:i/>
        </w:rPr>
        <w:t xml:space="preserve">Basics of geomatics</w:t>
      </w:r>
      <w:r>
        <w:t xml:space="preserve">. Applied Geomatics, 2(3), 137–146. https://doi.org/10.1007/s12518-010-0029-6</w:t>
      </w:r>
    </w:p>
    <w:p>
      <w:pPr>
        <w:pStyle w:val="BodyText"/>
      </w:pPr>
      <w:r>
        <w:t xml:space="preserve">Gupta, K., Mukhopadhyay, A., Giri, S., Chanda, A., Datta Majumdar, S., Samanta, S., Mitra, D., Samal, R. N., Pattnaik, A. K., y Hazra, S. (2018). An index for discrimination of mangroves from non-mangroves using LANDSAT 8 OLI imagery.</w:t>
      </w:r>
      <w:r>
        <w:t xml:space="preserve"> </w:t>
      </w:r>
      <w:r>
        <w:rPr>
          <w:iCs/>
          <w:i/>
        </w:rPr>
        <w:t xml:space="preserve">MethodsX</w:t>
      </w:r>
      <w:r>
        <w:t xml:space="preserve">,</w:t>
      </w:r>
      <w:r>
        <w:t xml:space="preserve"> </w:t>
      </w:r>
      <w:r>
        <w:rPr>
          <w:iCs/>
          <w:i/>
        </w:rPr>
        <w:t xml:space="preserve">5</w:t>
      </w:r>
      <w:r>
        <w:t xml:space="preserve">, 1129–1139. https://doi.org/10.1016/j.mex.2018.09.011</w:t>
      </w:r>
    </w:p>
    <w:p>
      <w:pPr>
        <w:pStyle w:val="BodyText"/>
      </w:pPr>
      <w:r>
        <w:t xml:space="preserve">Hamilton, S. E., y Casey, D. (2016). Creation of a high spatio-temporal resolution global database of continuous mangrove forest cover for the 21st century (CGMFC-21).</w:t>
      </w:r>
      <w:r>
        <w:t xml:space="preserve"> </w:t>
      </w:r>
      <w:r>
        <w:rPr>
          <w:iCs/>
          <w:i/>
        </w:rPr>
        <w:t xml:space="preserve">Global Ecology and Biogeography</w:t>
      </w:r>
      <w:r>
        <w:t xml:space="preserve">,</w:t>
      </w:r>
      <w:r>
        <w:t xml:space="preserve"> </w:t>
      </w:r>
      <w:r>
        <w:rPr>
          <w:iCs/>
          <w:i/>
        </w:rPr>
        <w:t xml:space="preserve">25</w:t>
      </w:r>
      <w:r>
        <w:t xml:space="preserve">(6), 729–738. https://doi.org/10.1111/geb.12449</w:t>
      </w:r>
    </w:p>
    <w:p>
      <w:pPr>
        <w:pStyle w:val="BodyText"/>
      </w:pPr>
      <w:r>
        <w:t xml:space="preserve">Hersbach, H., Bell, B., Berrisford, P., Hirahara, S., Horányi, A., Muñoz-Sabater, J., Nicolas, J., Peubey, C., Radu, R., Schepers, D., Simmons, A., Soci, C., Abdalla, S., Abellan, X., Balsamo, G., Bechtold, P., Biavati, G., Bidlot, J., Bonavita, M., … Thépaut, J.-N. (2020). The ERA5 global reanalysis.</w:t>
      </w:r>
      <w:r>
        <w:t xml:space="preserve"> </w:t>
      </w:r>
      <w:r>
        <w:rPr>
          <w:iCs/>
          <w:i/>
        </w:rPr>
        <w:t xml:space="preserve">Quarterly Journal of the Royal Meteorológical Society</w:t>
      </w:r>
      <w:r>
        <w:t xml:space="preserve">,</w:t>
      </w:r>
      <w:r>
        <w:t xml:space="preserve"> </w:t>
      </w:r>
      <w:r>
        <w:rPr>
          <w:iCs/>
          <w:i/>
        </w:rPr>
        <w:t xml:space="preserve">146</w:t>
      </w:r>
      <w:r>
        <w:t xml:space="preserve">(730), 1999–2049. https://doi.org/10.1002/qj.3803</w:t>
      </w:r>
    </w:p>
    <w:p>
      <w:pPr>
        <w:pStyle w:val="BodyText"/>
      </w:pPr>
      <w:r>
        <w:t xml:space="preserve">Instituto de Hidrología, Meteorología y Estudios Ambientales. (2026).</w:t>
      </w:r>
      <w:r>
        <w:t xml:space="preserve"> </w:t>
      </w:r>
      <w:r>
        <w:rPr>
          <w:iCs/>
          <w:i/>
        </w:rPr>
        <w:t xml:space="preserve">Series de caudal mensual del río Magdalena en El Banco (estación 25027020) y del río Aracataca en Ganadería Caribe (estación 29067150)</w:t>
      </w:r>
      <w:r>
        <w:t xml:space="preserve"> </w:t>
      </w:r>
      <w:r>
        <w:t xml:space="preserve">[Conjuntos de datos]. Portal DHIME. https://dhime.ideam.gov.co/</w:t>
      </w:r>
    </w:p>
    <w:p>
      <w:pPr>
        <w:pStyle w:val="BodyText"/>
      </w:pPr>
      <w:r>
        <w:t xml:space="preserve">Instituto de Investigaciones Marinas y Costeras. (2020).</w:t>
      </w:r>
      <w:r>
        <w:t xml:space="preserve"> </w:t>
      </w:r>
      <w:r>
        <w:rPr>
          <w:iCs/>
          <w:i/>
        </w:rPr>
        <w:t xml:space="preserve">Cartografía de manglares de Colombia a escala 1:25.000 para Caribe y Pacífico</w:t>
      </w:r>
      <w:r>
        <w:t xml:space="preserve">. Procesamiento digital de imágenes en Google Earth Engine.</w:t>
      </w:r>
    </w:p>
    <w:p>
      <w:pPr>
        <w:pStyle w:val="BodyText"/>
      </w:pPr>
      <w:r>
        <w:t xml:space="preserve">Instituto de Investigaciones Marinas y Costeras. (2024).</w:t>
      </w:r>
      <w:r>
        <w:t xml:space="preserve"> </w:t>
      </w:r>
      <w:r>
        <w:rPr>
          <w:iCs/>
          <w:i/>
        </w:rPr>
        <w:t xml:space="preserve">Monitoreo de las condiciones ambientales y los cambios estructurales y funciónales de las comunidades vegetales y de los recursos pesqueros durante la rehabilitación de la Ciénaga Grande de Santa Marta. Informe técnico final</w:t>
      </w:r>
      <w:r>
        <w:t xml:space="preserve"> </w:t>
      </w:r>
      <w:r>
        <w:t xml:space="preserve">(Vol. 23). https://www.invemar.org.co/inf-cgsm</w:t>
      </w:r>
    </w:p>
    <w:p>
      <w:pPr>
        <w:pStyle w:val="BodyText"/>
      </w:pPr>
      <w:r>
        <w:t xml:space="preserve">Kirillov, A., Mintun, E., Ravi, N., Mao, H., Rolland, C., Gustafson, L., Xiao, T., Whitehead, S., Berg, A. C., Lo, W.-Y., Dollár, P., y Girshick, R. (2023). Segment anything.</w:t>
      </w:r>
      <w:r>
        <w:t xml:space="preserve"> </w:t>
      </w:r>
      <w:r>
        <w:rPr>
          <w:iCs/>
          <w:i/>
        </w:rPr>
        <w:t xml:space="preserve">arXiv</w:t>
      </w:r>
      <w:r>
        <w:t xml:space="preserve">. https://doi.org/10.48550/arXiv.2304.02643</w:t>
      </w:r>
    </w:p>
    <w:p>
      <w:pPr>
        <w:pStyle w:val="BodyText"/>
      </w:pPr>
      <w:r>
        <w:t xml:space="preserve">National Oceanic and Atmospheric Administration, Climate Prediction Center. (2026).</w:t>
      </w:r>
      <w:r>
        <w:t xml:space="preserve"> </w:t>
      </w:r>
      <w:r>
        <w:rPr>
          <w:iCs/>
          <w:i/>
        </w:rPr>
        <w:t xml:space="preserve">Oceanic Niño Index (ONI) y Southern Oscillation Index (SOI)</w:t>
      </w:r>
      <w:r>
        <w:t xml:space="preserve"> </w:t>
      </w:r>
      <w:r>
        <w:t xml:space="preserve">[Conjuntos de datos]. https://www.cpc.ncep.noaa.gov/data/indices/</w:t>
      </w:r>
    </w:p>
    <w:p>
      <w:pPr>
        <w:pStyle w:val="BodyText"/>
      </w:pPr>
      <w:r>
        <w:t xml:space="preserve">Olofsson, P., Foody, G. M., Herold, M., Stehman, S. V., Woodcock, C. E., y Wulder, M. A. (2014). Good práctices for estimating área and assessing accuracy of land change.</w:t>
      </w:r>
      <w:r>
        <w:t xml:space="preserve"> </w:t>
      </w:r>
      <w:r>
        <w:rPr>
          <w:iCs/>
          <w:i/>
        </w:rPr>
        <w:t xml:space="preserve">Remote Sensing of Environment</w:t>
      </w:r>
      <w:r>
        <w:t xml:space="preserve">,</w:t>
      </w:r>
      <w:r>
        <w:t xml:space="preserve"> </w:t>
      </w:r>
      <w:r>
        <w:rPr>
          <w:iCs/>
          <w:i/>
        </w:rPr>
        <w:t xml:space="preserve">148</w:t>
      </w:r>
      <w:r>
        <w:t xml:space="preserve">, 42–57. https://doi.org/10.1016/j.rse.2014.02.015</w:t>
      </w:r>
    </w:p>
    <w:p>
      <w:pPr>
        <w:pStyle w:val="BodyText"/>
      </w:pPr>
      <w:r>
        <w:t xml:space="preserve">Raza, S., Zhang, J., Zuo, S., y Chen, J. (2024). Time series monitoring and analysis of Pakistán’s mangrove using Sentinel-2 data.</w:t>
      </w:r>
      <w:r>
        <w:t xml:space="preserve"> </w:t>
      </w:r>
      <w:r>
        <w:rPr>
          <w:iCs/>
          <w:i/>
        </w:rPr>
        <w:t xml:space="preserve">Frontiers in Environmental Science</w:t>
      </w:r>
      <w:r>
        <w:t xml:space="preserve">,</w:t>
      </w:r>
      <w:r>
        <w:t xml:space="preserve"> </w:t>
      </w:r>
      <w:r>
        <w:rPr>
          <w:iCs/>
          <w:i/>
        </w:rPr>
        <w:t xml:space="preserve">12</w:t>
      </w:r>
      <w:r>
        <w:t xml:space="preserve">, 1416450. https://doi.org/10.3389/fenvs.2024.1416450</w:t>
      </w:r>
    </w:p>
    <w:p>
      <w:pPr>
        <w:pStyle w:val="BodyText"/>
      </w:pPr>
      <w:r>
        <w:t xml:space="preserve">Selvaraj, J. J., y Gallego-Pérez, J. (2023). An enhanced approach to mangrove forest analysis in the Colombian Pacific coast using óptical and SAR data in Google Earth Engine.</w:t>
      </w:r>
      <w:r>
        <w:t xml:space="preserve"> </w:t>
      </w:r>
      <w:r>
        <w:rPr>
          <w:iCs/>
          <w:i/>
        </w:rPr>
        <w:t xml:space="preserve">Remote Sensing Applications: Society and Environment</w:t>
      </w:r>
      <w:r>
        <w:t xml:space="preserve">,</w:t>
      </w:r>
      <w:r>
        <w:t xml:space="preserve"> </w:t>
      </w:r>
      <w:r>
        <w:rPr>
          <w:iCs/>
          <w:i/>
        </w:rPr>
        <w:t xml:space="preserve">30</w:t>
      </w:r>
      <w:r>
        <w:t xml:space="preserve">, 100938. https://doi.org/10.1016/j.rsase.2023.100938</w:t>
      </w:r>
    </w:p>
    <w:p>
      <w:pPr>
        <w:pStyle w:val="BodyText"/>
      </w:pPr>
      <w:r>
        <w:t xml:space="preserve">Vinasco, J. S., Rodríguez, D. A., Velásquez, S., Quintero, D. F., Livni, L. R., y Hernández, F. L. (2020). Coverage changes detection at Ciénaga Grande, Santa Marta – Colombia using automátic classification.</w:t>
      </w:r>
      <w:r>
        <w:t xml:space="preserve"> </w:t>
      </w:r>
      <w:r>
        <w:rPr>
          <w:iCs/>
          <w:i/>
        </w:rPr>
        <w:t xml:space="preserve">The International Archives of the Photogrammetry, Remote Sensing and Spatial Information Sciences</w:t>
      </w:r>
      <w:r>
        <w:t xml:space="preserve">,</w:t>
      </w:r>
      <w:r>
        <w:t xml:space="preserve"> </w:t>
      </w:r>
      <w:r>
        <w:rPr>
          <w:iCs/>
          <w:i/>
        </w:rPr>
        <w:t xml:space="preserve">XLII-3/W12-2020</w:t>
      </w:r>
      <w:r>
        <w:t xml:space="preserve">, 195–200. https://doi.org/10.5194/isprs-archives-XLII-3-W12-2020-195-2020</w:t>
      </w:r>
    </w:p>
    <w:p>
      <w:pPr>
        <w:pStyle w:val="BodyText"/>
      </w:pPr>
      <w:r>
        <w:t xml:space="preserve">Wu, Q., y Osco, L. (2023). samgeo: A Python package for segmenting geospatial data with the Segment Anything Model (SAM).</w:t>
      </w:r>
      <w:r>
        <w:t xml:space="preserve"> </w:t>
      </w:r>
      <w:r>
        <w:rPr>
          <w:iCs/>
          <w:i/>
        </w:rPr>
        <w:t xml:space="preserve">Journal of Open Source Software</w:t>
      </w:r>
      <w:r>
        <w:t xml:space="preserve">,</w:t>
      </w:r>
      <w:r>
        <w:t xml:space="preserve"> </w:t>
      </w:r>
      <w:r>
        <w:rPr>
          <w:iCs/>
          <w:i/>
        </w:rPr>
        <w:t xml:space="preserve">8</w:t>
      </w:r>
      <w:r>
        <w:t xml:space="preserve">(89), 5663. https://doi.org/10.21105/joss.05663</w:t>
      </w:r>
    </w:p>
    <w:p>
      <w:pPr>
        <w:pStyle w:val="BodyText"/>
      </w:pPr>
      <w:r>
        <w:t xml:space="preserve">Yancho, J. M. M., Jones, T. G., Gandhi, S. R., Ferster, C., Lin, A., y Glass, L. (2020). The Google Earth Engine Mangrove Mapping Methodology (GEEMMM).</w:t>
      </w:r>
      <w:r>
        <w:t xml:space="preserve"> </w:t>
      </w:r>
      <w:r>
        <w:rPr>
          <w:iCs/>
          <w:i/>
        </w:rPr>
        <w:t xml:space="preserve">Remote Sensing</w:t>
      </w:r>
      <w:r>
        <w:t xml:space="preserve">,</w:t>
      </w:r>
      <w:r>
        <w:t xml:space="preserve"> </w:t>
      </w:r>
      <w:r>
        <w:rPr>
          <w:iCs/>
          <w:i/>
        </w:rPr>
        <w:t xml:space="preserve">12</w:t>
      </w:r>
      <w:r>
        <w:t xml:space="preserve">(22), 3758. https://doi.org/10.3390/rs12223758</w:t>
      </w:r>
    </w:p>
    <w:p>
      <w:pPr>
        <w:pStyle w:val="BodyText"/>
      </w:pPr>
      <w:r>
        <w:t xml:space="preserve">Zanaga, D., Van De Kerchove, R., Daems, D., De Keersmaecker, W., Brockmann, C., Kirches, G., Wevers, J., Cartus, O., Santoro, M., Fritz, S., Lesiv, M., Herold, M., Tsendbazar, N.-E., Xu, P., Ramoino, F., y Arino, O. (2022).</w:t>
      </w:r>
      <w:r>
        <w:t xml:space="preserve"> </w:t>
      </w:r>
      <w:r>
        <w:rPr>
          <w:iCs/>
          <w:i/>
        </w:rPr>
        <w:t xml:space="preserve">ESA WorldCover 10 m 2021 v200</w:t>
      </w:r>
      <w:r>
        <w:t xml:space="preserve">. Zenodo. https://doi.org/10.5281/zenodo.7254221</w:t>
      </w:r>
    </w:p>
    <w:bookmarkEnd w:id="142"/>
    <w:bookmarkStart w:id="143" w:name="anexo-a-configuracion-del-entorno-docker"/>
    <w:p>
      <w:pPr>
        <w:pStyle w:val="Heading1"/>
      </w:pPr>
      <w:r>
        <w:t xml:space="preserve">11. Anexo A: Configuracion del entorno Docker</w:t>
      </w:r>
    </w:p>
    <w:p>
      <w:pPr>
        <w:pStyle w:val="FirstParagraph"/>
      </w:pPr>
      <w:r>
        <w:t xml:space="preserve">El proyecto se ejecuta sobre el contenedor Docker sig_unal v1.11 proporcionado para la asignatura, con las siguientes modificaciones:</w:t>
      </w:r>
    </w:p>
    <w:p>
      <w:pPr>
        <w:pStyle w:val="SourceCode"/>
      </w:pPr>
      <w:r>
        <w:rPr>
          <w:rStyle w:val="CommentTok"/>
        </w:rPr>
        <w:t xml:space="preserve"># Librerias Python adicionales instaladas</w:t>
      </w:r>
      <w:r>
        <w:br/>
      </w:r>
      <w:r>
        <w:rPr>
          <w:rStyle w:val="ExtensionTok"/>
        </w:rPr>
        <w:t xml:space="preserve">pip</w:t>
      </w:r>
      <w:r>
        <w:rPr>
          <w:rStyle w:val="NormalTok"/>
        </w:rPr>
        <w:t xml:space="preserve"> install earthengine-api geemap segment-geospatial leafmap</w:t>
      </w:r>
      <w:r>
        <w:br/>
      </w:r>
      <w:r>
        <w:rPr>
          <w:rStyle w:val="ExtensionTok"/>
        </w:rPr>
        <w:t xml:space="preserve">pip</w:t>
      </w:r>
      <w:r>
        <w:rPr>
          <w:rStyle w:val="NormalTok"/>
        </w:rPr>
        <w:t xml:space="preserve"> install rasterio geopandas xarray shapely folium rasterstats</w:t>
      </w:r>
      <w:r>
        <w:br/>
      </w:r>
      <w:r>
        <w:rPr>
          <w:rStyle w:val="ExtensionTok"/>
        </w:rPr>
        <w:t xml:space="preserve">pip</w:t>
      </w:r>
      <w:r>
        <w:rPr>
          <w:rStyle w:val="NormalTok"/>
        </w:rPr>
        <w:t xml:space="preserve"> install matplotlib pandas numpy scikit-learn contextily</w:t>
      </w:r>
      <w:r>
        <w:br/>
      </w:r>
      <w:r>
        <w:rPr>
          <w:rStyle w:val="ExtensionTok"/>
        </w:rPr>
        <w:t xml:space="preserve">pip</w:t>
      </w:r>
      <w:r>
        <w:rPr>
          <w:rStyle w:val="NormalTok"/>
        </w:rPr>
        <w:t xml:space="preserve"> install cdsapi netCDF4              </w:t>
      </w:r>
      <w:r>
        <w:rPr>
          <w:rStyle w:val="CommentTok"/>
        </w:rPr>
        <w:t xml:space="preserve"># descarga ERA5-Land desde CDS</w:t>
      </w:r>
      <w:r>
        <w:br/>
      </w:r>
      <w:r>
        <w:br/>
      </w:r>
      <w:r>
        <w:rPr>
          <w:rStyle w:val="CommentTok"/>
        </w:rPr>
        <w:t xml:space="preserve"># Autenticacion Google Earth Engine</w:t>
      </w:r>
      <w:r>
        <w:br/>
      </w:r>
      <w:r>
        <w:rPr>
          <w:rStyle w:val="ExtensionTok"/>
        </w:rPr>
        <w:t xml:space="preserve">earthengine</w:t>
      </w:r>
      <w:r>
        <w:rPr>
          <w:rStyle w:val="NormalTok"/>
        </w:rPr>
        <w:t xml:space="preserve"> authenticate </w:t>
      </w:r>
      <w:r>
        <w:rPr>
          <w:rStyle w:val="AttributeTok"/>
        </w:rPr>
        <w:t xml:space="preserve">--auth_mode</w:t>
      </w:r>
      <w:r>
        <w:rPr>
          <w:rStyle w:val="OperatorTok"/>
        </w:rPr>
        <w:t xml:space="preserve">=</w:t>
      </w:r>
      <w:r>
        <w:rPr>
          <w:rStyle w:val="NormalTok"/>
        </w:rPr>
        <w:t xml:space="preserve">notebook</w:t>
      </w:r>
      <w:r>
        <w:br/>
      </w:r>
      <w:r>
        <w:br/>
      </w:r>
      <w:r>
        <w:rPr>
          <w:rStyle w:val="CommentTok"/>
        </w:rPr>
        <w:t xml:space="preserve"># Autenticacion Climate Data Store (ECMWF) — para ERA5-Land</w:t>
      </w:r>
      <w:r>
        <w:br/>
      </w:r>
      <w:r>
        <w:rPr>
          <w:rStyle w:val="CommentTok"/>
        </w:rPr>
        <w:t xml:space="preserve"># 1) Crear cuenta en https://cds.climate.copernicus.eu/</w:t>
      </w:r>
      <w:r>
        <w:br/>
      </w:r>
      <w:r>
        <w:rPr>
          <w:rStyle w:val="CommentTok"/>
        </w:rPr>
        <w:t xml:space="preserve"># 2) Aceptar terminos del dataset reanalysis-era5-land-monthly-means</w:t>
      </w:r>
      <w:r>
        <w:br/>
      </w:r>
      <w:r>
        <w:rPr>
          <w:rStyle w:val="CommentTok"/>
        </w:rPr>
        <w:t xml:space="preserve"># 3) Crear archivo ~/.cdsapirc con la URL y la API key personales</w:t>
      </w:r>
    </w:p>
    <w:p>
      <w:pPr>
        <w:pStyle w:val="SourceCode"/>
      </w:pPr>
      <w:r>
        <w:rPr>
          <w:rStyle w:val="CommentTok"/>
        </w:rPr>
        <w:t xml:space="preserve"># Paquetes R adicionales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"bfast"</w:t>
      </w:r>
      <w:r>
        <w:rPr>
          <w:rStyle w:val="NormalTok"/>
        </w:rPr>
        <w:t xml:space="preserve">, </w:t>
      </w:r>
      <w:r>
        <w:rPr>
          <w:rStyle w:val="StringTok"/>
        </w:rPr>
        <w:t xml:space="preserve">"terra"</w:t>
      </w:r>
      <w:r>
        <w:rPr>
          <w:rStyle w:val="NormalTok"/>
        </w:rPr>
        <w:t xml:space="preserve">, </w:t>
      </w:r>
      <w:r>
        <w:rPr>
          <w:rStyle w:val="StringTok"/>
        </w:rPr>
        <w:t xml:space="preserve">"sf"</w:t>
      </w:r>
      <w:r>
        <w:rPr>
          <w:rStyle w:val="NormalTok"/>
        </w:rPr>
        <w:t xml:space="preserve">, </w:t>
      </w:r>
      <w:r>
        <w:rPr>
          <w:rStyle w:val="StringTok"/>
        </w:rPr>
        <w:t xml:space="preserve">"ggplot2"</w:t>
      </w:r>
      <w:r>
        <w:rPr>
          <w:rStyle w:val="NormalTok"/>
        </w:rPr>
        <w:t xml:space="preserve">, </w:t>
      </w:r>
      <w:r>
        <w:rPr>
          <w:rStyle w:val="StringTok"/>
        </w:rPr>
        <w:t xml:space="preserve">"tseries"</w:t>
      </w:r>
      <w:r>
        <w:rPr>
          <w:rStyle w:val="NormalTok"/>
        </w:rPr>
        <w:t xml:space="preserve">,</w:t>
      </w:r>
      <w:r>
        <w:br/>
      </w:r>
      <w:r>
        <w:rPr>
          <w:rStyle w:val="NormalTok"/>
        </w:rPr>
        <w:t xml:space="preserve">                   </w:t>
      </w:r>
      <w:r>
        <w:rPr>
          <w:rStyle w:val="StringTok"/>
        </w:rPr>
        <w:t xml:space="preserve">"stars"</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StringTok"/>
        </w:rPr>
        <w:t xml:space="preserve">"stringr"</w:t>
      </w:r>
      <w:r>
        <w:rPr>
          <w:rStyle w:val="NormalTok"/>
        </w:rPr>
        <w:t xml:space="preserve">))</w:t>
      </w:r>
    </w:p>
    <w:p>
      <w:pPr>
        <w:pStyle w:val="SourceCode"/>
      </w:pPr>
      <w:r>
        <w:rPr>
          <w:rStyle w:val="CommentTok"/>
        </w:rPr>
        <w:t xml:space="preserve"># Paquetes Julia adicionales</w:t>
      </w:r>
      <w:r>
        <w:br/>
      </w:r>
      <w:r>
        <w:rPr>
          <w:rStyle w:val="ImportTok"/>
        </w:rPr>
        <w:t xml:space="preserve">using</w:t>
      </w:r>
      <w:r>
        <w:rPr>
          <w:rStyle w:val="NormalTok"/>
        </w:rPr>
        <w:t xml:space="preserve"> </w:t>
      </w:r>
      <w:r>
        <w:rPr>
          <w:rStyle w:val="BuiltInTok"/>
        </w:rPr>
        <w:t xml:space="preserve">Pkg</w:t>
      </w:r>
      <w:r>
        <w:br/>
      </w:r>
      <w:r>
        <w:rPr>
          <w:rStyle w:val="BuiltInTok"/>
        </w:rPr>
        <w:t xml:space="preserve">Pkg</w:t>
      </w:r>
      <w:r>
        <w:rPr>
          <w:rStyle w:val="NormalTok"/>
        </w:rPr>
        <w:t xml:space="preserve">.</w:t>
      </w:r>
      <w:r>
        <w:rPr>
          <w:rStyle w:val="FunctionTok"/>
        </w:rPr>
        <w:t xml:space="preserve">add</w:t>
      </w:r>
      <w:r>
        <w:rPr>
          <w:rStyle w:val="NormalTok"/>
        </w:rPr>
        <w:t xml:space="preserve">([</w:t>
      </w:r>
      <w:r>
        <w:rPr>
          <w:rStyle w:val="StringTok"/>
        </w:rPr>
        <w:t xml:space="preserve">"GeoJSON"</w:t>
      </w:r>
      <w:r>
        <w:rPr>
          <w:rStyle w:val="NormalTok"/>
        </w:rPr>
        <w:t xml:space="preserve">, </w:t>
      </w:r>
      <w:r>
        <w:rPr>
          <w:rStyle w:val="StringTok"/>
        </w:rPr>
        <w:t xml:space="preserve">"DataFrames"</w:t>
      </w:r>
      <w:r>
        <w:rPr>
          <w:rStyle w:val="NormalTok"/>
        </w:rPr>
        <w:t xml:space="preserve">, </w:t>
      </w:r>
      <w:r>
        <w:rPr>
          <w:rStyle w:val="StringTok"/>
        </w:rPr>
        <w:t xml:space="preserve">"CSV"</w:t>
      </w:r>
      <w:r>
        <w:rPr>
          <w:rStyle w:val="NormalTok"/>
        </w:rPr>
        <w:t xml:space="preserve">, </w:t>
      </w:r>
      <w:r>
        <w:rPr>
          <w:rStyle w:val="StringTok"/>
        </w:rPr>
        <w:t xml:space="preserve">"Statistics"</w:t>
      </w:r>
      <w:r>
        <w:rPr>
          <w:rStyle w:val="NormalTok"/>
        </w:rPr>
        <w:t xml:space="preserve">])</w:t>
      </w:r>
    </w:p>
    <w:p>
      <w:pPr>
        <w:pStyle w:val="FirstParagraph"/>
      </w:pPr>
      <w:r>
        <w:t xml:space="preserve">La autenticación con GEE se realiza mediante el flujo</w:t>
      </w:r>
      <w:r>
        <w:t xml:space="preserve"> </w:t>
      </w:r>
      <w:r>
        <w:rPr>
          <w:rStyle w:val="VerbatimChar"/>
        </w:rPr>
        <w:t xml:space="preserve">gcloud auth application-default login</w:t>
      </w:r>
      <w:r>
        <w:t xml:space="preserve"> </w:t>
      </w:r>
      <w:r>
        <w:t xml:space="preserve">con quota project configurado, que genera credenciales almacenadas en</w:t>
      </w:r>
      <w:r>
        <w:t xml:space="preserve"> </w:t>
      </w:r>
      <w:r>
        <w:rPr>
          <w:rStyle w:val="VerbatimChar"/>
        </w:rPr>
        <w:t xml:space="preserve">~/.config/gcloud/application_default_credentials.json</w:t>
      </w:r>
      <w: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143"/>
    <w:bookmarkStart w:id="145" w:name="Xc24797d2ff112451820a4d3c0739401ffa520c7"/>
    <w:p>
      <w:pPr>
        <w:pStyle w:val="Heading1"/>
      </w:pPr>
      <w:r>
        <w:t xml:space="preserve">12. Anexo B: Estructura del repositorio GitHub</w:t>
      </w:r>
    </w:p>
    <w:p>
      <w:pPr>
        <w:pStyle w:val="FirstParagraph"/>
      </w:pPr>
      <w:r>
        <w:t xml:space="preserve">El repositorio público está disponible en</w:t>
      </w:r>
      <w:r>
        <w:t xml:space="preserve"> </w:t>
      </w:r>
      <w:hyperlink r:id="rId20">
        <w:r>
          <w:rPr>
            <w:rStyle w:val="Hyperlink"/>
          </w:rPr>
          <w:t xml:space="preserve">https://github.com/linaq11/proyecto-cgsm-curso</w:t>
        </w:r>
      </w:hyperlink>
      <w:r>
        <w:t xml:space="preserve"> </w:t>
      </w:r>
      <w:r>
        <w:t xml:space="preserve">bajo licencia MIT. La versión anterior del proyecto (baseline marzo 2026 sobre AOI envolvente de 5.073 km²) permanece archivada en</w:t>
      </w:r>
      <w:r>
        <w:t xml:space="preserve"> </w:t>
      </w:r>
      <w:hyperlink r:id="rId144">
        <w:r>
          <w:rPr>
            <w:rStyle w:val="Hyperlink"/>
          </w:rPr>
          <w:t xml:space="preserve">https://github.com/LinaQuinteroF/proyecto-cgsm</w:t>
        </w:r>
      </w:hyperlink>
      <w:r>
        <w:t xml:space="preserve"> </w:t>
      </w:r>
      <w:r>
        <w:t xml:space="preserve">para fines de comparación histórica.</w:t>
      </w:r>
    </w:p>
    <w:p>
      <w:pPr>
        <w:pStyle w:val="SourceCode"/>
      </w:pPr>
      <w:r>
        <w:rPr>
          <w:rStyle w:val="VerbatimChar"/>
        </w:rPr>
        <w:t xml:space="preserve">proyecto-cgsm-curso/</w:t>
      </w:r>
      <w:r>
        <w:br/>
      </w:r>
      <w:r>
        <w:rPr>
          <w:rStyle w:val="VerbatimChar"/>
        </w:rPr>
        <w:t xml:space="preserve">├── notebooks/        29 notebooks numerados (vigente 01-12 + legacy 03_…14)</w:t>
      </w:r>
      <w:r>
        <w:br/>
      </w:r>
      <w:r>
        <w:rPr>
          <w:rStyle w:val="VerbatimChar"/>
        </w:rPr>
        <w:t xml:space="preserve">│                     orden de ejecución: 01 → 02 → 02b → 03_acotado →</w:t>
      </w:r>
      <w:r>
        <w:br/>
      </w:r>
      <w:r>
        <w:rPr>
          <w:rStyle w:val="VerbatimChar"/>
        </w:rPr>
        <w:t xml:space="preserve">│                     04_acotado → 04b_acotado → 05_acotado → 07 → 08 →</w:t>
      </w:r>
      <w:r>
        <w:br/>
      </w:r>
      <w:r>
        <w:rPr>
          <w:rStyle w:val="VerbatimChar"/>
        </w:rPr>
        <w:t xml:space="preserve">│                     09b → 10 → 11 → 11b → 12 → 12b → 12c → 13 → 14</w:t>
      </w:r>
      <w:r>
        <w:br/>
      </w:r>
      <w:r>
        <w:rPr>
          <w:rStyle w:val="VerbatimChar"/>
        </w:rPr>
        <w:t xml:space="preserve">├── src/</w:t>
      </w:r>
      <w:r>
        <w:br/>
      </w:r>
      <w:r>
        <w:rPr>
          <w:rStyle w:val="VerbatimChar"/>
        </w:rPr>
        <w:t xml:space="preserve">│   ├── python/       utils.py (9377 + DE-9IM), aoi_acotado.py, build_cubos.py,</w:t>
      </w:r>
      <w:r>
        <w:br/>
      </w:r>
      <w:r>
        <w:rPr>
          <w:rStyle w:val="VerbatimChar"/>
        </w:rPr>
        <w:t xml:space="preserve">│   │                 make_dashboard_html.py, alertas_manglar.py, merge_cubo.py</w:t>
      </w:r>
      <w:r>
        <w:br/>
      </w:r>
      <w:r>
        <w:rPr>
          <w:rStyle w:val="VerbatimChar"/>
        </w:rPr>
        <w:t xml:space="preserve">│   ├── R/            03_bfast_ndvi.R, 05_stars_cubo.R, 06_bfast_manglar_unificado.R,</w:t>
      </w:r>
      <w:r>
        <w:br/>
      </w:r>
      <w:r>
        <w:rPr>
          <w:rStyle w:val="VerbatimChar"/>
        </w:rPr>
        <w:t xml:space="preserve">│   │                 08_correlacion_trilingual.R</w:t>
      </w:r>
      <w:r>
        <w:br/>
      </w:r>
      <w:r>
        <w:rPr>
          <w:rStyle w:val="VerbatimChar"/>
        </w:rPr>
        <w:t xml:space="preserve">│   └── julia/        04_fragmentacion.jl (4326 legado + 9377 vigente),</w:t>
      </w:r>
      <w:r>
        <w:br/>
      </w:r>
      <w:r>
        <w:rPr>
          <w:rStyle w:val="VerbatimChar"/>
        </w:rPr>
        <w:t xml:space="preserve">│                     05_correlacion_trilingual.jl</w:t>
      </w:r>
      <w:r>
        <w:br/>
      </w:r>
      <w:r>
        <w:rPr>
          <w:rStyle w:val="VerbatimChar"/>
        </w:rPr>
        <w:t xml:space="preserve">├── data/</w:t>
      </w:r>
      <w:r>
        <w:br/>
      </w:r>
      <w:r>
        <w:rPr>
          <w:rStyle w:val="VerbatimChar"/>
        </w:rPr>
        <w:t xml:space="preserve">│   ├── raw/          AOI envolvente y acotado, RUNAP SFF + VPI, INVEMAR GBIF,</w:t>
      </w:r>
      <w:r>
        <w:br/>
      </w:r>
      <w:r>
        <w:rPr>
          <w:rStyle w:val="VerbatimChar"/>
        </w:rPr>
        <w:t xml:space="preserve">│   │                 IDEAM El Banco / Ganadería Caribe</w:t>
      </w:r>
      <w:r>
        <w:br/>
      </w:r>
      <w:r>
        <w:rPr>
          <w:rStyle w:val="VerbatimChar"/>
        </w:rPr>
        <w:t xml:space="preserve">│   └── processed/</w:t>
      </w:r>
      <w:r>
        <w:br/>
      </w:r>
      <w:r>
        <w:rPr>
          <w:rStyle w:val="VerbatimChar"/>
        </w:rPr>
        <w:t xml:space="preserve">│       ├── cubo/     3 datacubes NetCDF CF-1.8 (40 / 275 / 119 MB)</w:t>
      </w:r>
      <w:r>
        <w:br/>
      </w:r>
      <w:r>
        <w:rPr>
          <w:rStyle w:val="VerbatimChar"/>
        </w:rPr>
        <w:t xml:space="preserve">│       └── samgeo/   máscaras y GeoJSON por periodo (degradación / recuperación / actual)</w:t>
      </w:r>
      <w:r>
        <w:br/>
      </w:r>
      <w:r>
        <w:rPr>
          <w:rStyle w:val="VerbatimChar"/>
        </w:rPr>
        <w:t xml:space="preserve">├── outputs/</w:t>
      </w:r>
      <w:r>
        <w:br/>
      </w:r>
      <w:r>
        <w:rPr>
          <w:rStyle w:val="VerbatimChar"/>
        </w:rPr>
        <w:t xml:space="preserve">│   ├── tables/       47 CSV con resultados numéricos</w:t>
      </w:r>
      <w:r>
        <w:br/>
      </w:r>
      <w:r>
        <w:rPr>
          <w:rStyle w:val="VerbatimChar"/>
        </w:rPr>
        <w:t xml:space="preserve">│   ├── figures/      35 PNG (mapas, series, correlaciones, validación, alertas)</w:t>
      </w:r>
      <w:r>
        <w:br/>
      </w:r>
      <w:r>
        <w:rPr>
          <w:rStyle w:val="VerbatimChar"/>
        </w:rPr>
        <w:t xml:space="preserve">│   └── maps/         dashboard_CGSM_final.html (autocontenido, ~80 KB)</w:t>
      </w:r>
      <w:r>
        <w:br/>
      </w:r>
      <w:r>
        <w:rPr>
          <w:rStyle w:val="VerbatimChar"/>
        </w:rPr>
        <w:t xml:space="preserve">└── docs/             informe_final.{qmd,html,pdf}, articulo_cgsm_journal.*,</w:t>
      </w:r>
      <w:r>
        <w:br/>
      </w:r>
      <w:r>
        <w:rPr>
          <w:rStyle w:val="VerbatimChar"/>
        </w:rPr>
        <w:t xml:space="preserve">                      dashboard.html (Pages), outputs/{figures,maps}/ (Pages)</w:t>
      </w:r>
    </w:p>
    <w:p>
      <w:pPr>
        <w:pStyle w:val="FirstParagraph"/>
      </w:pPr>
      <w:r>
        <w:t xml:space="preserve">La serie</w:t>
      </w:r>
      <w:r>
        <w:t xml:space="preserve"> </w:t>
      </w:r>
      <w:r>
        <w:rPr>
          <w:bCs/>
          <w:b/>
        </w:rPr>
        <w:t xml:space="preserve">vigente</w:t>
      </w:r>
      <w:r>
        <w:t xml:space="preserve"> </w:t>
      </w:r>
      <w:r>
        <w:t xml:space="preserve">(notebooks 01–12 + 02b, 04b/c_acotado, 09b, 11b, 12b/c, 14) reproduce las cifras del cuerpo del informe sobre el AOI acotado de 835 km². La serie</w:t>
      </w:r>
      <w:r>
        <w:t xml:space="preserve"> </w:t>
      </w:r>
      <w:r>
        <w:rPr>
          <w:bCs/>
          <w:b/>
        </w:rPr>
        <w:t xml:space="preserve">legacy</w:t>
      </w:r>
      <w:r>
        <w:t xml:space="preserve"> </w:t>
      </w:r>
      <w: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t xml:space="preserve"> </w:t>
      </w:r>
      <w:r>
        <w:rPr>
          <w:rStyle w:val="VerbatimChar"/>
        </w:rPr>
        <w:t xml:space="preserve">notebooks/README.md</w:t>
      </w:r>
      <w:r>
        <w:t xml:space="preserve">. Los composites trimestrales y anuales en GeoTIFF y los NetCDF de mayor tamaño no se versionan por restricciones de tamaño de GitHub: se regeneran ejecutando los notebooks en orden secuencial con acceso autenticado a GEE.</w:t>
      </w:r>
    </w:p>
    <w:bookmarkEnd w:id="145"/>
    <w:bookmarkStart w:id="146" w:name="Xc6be430550f396fe4f1bfa50b35d851258e41dd"/>
    <w:p>
      <w:pPr>
        <w:pStyle w:val="Heading1"/>
      </w:pPr>
      <w:r>
        <w:t xml:space="preserve">13. Anexo C: Nota metodológica sobre el conteo de parches (Julia vs Python)</w:t>
      </w:r>
    </w:p>
    <w:p>
      <w:pPr>
        <w:pStyle w:val="FirstParagraph"/>
      </w:pPr>
      <w:r>
        <w:t xml:space="preserve">Las cifras de fragmentacion sobre el AOI acotado se reportan en dos implementaciones independientes que arrojan conteos distintos del mismo conjunto de GeoJSON. En Julia, mediante el algoritmo del shoelace aplicado al anillo exterior de cada polígono (Tabla</w:t>
      </w:r>
      <w:r>
        <w:t xml:space="preserve"> </w:t>
      </w:r>
      <w:r>
        <w:rPr>
          <w:rStyle w:val="VerbatimChar"/>
        </w:rPr>
        <w:t xml:space="preserve">tbl-fragmentacion-acotado</w:t>
      </w:r>
      <w:r>
        <w:t xml:space="preserve">), se contabilizan 79, 38 y 15 parches para los periodos de degradación, recuperación y actual respectivamente, en tanto que en Python con</w:t>
      </w:r>
      <w:r>
        <w:t xml:space="preserve"> </w:t>
      </w:r>
      <w:r>
        <w:rPr>
          <w:rStyle w:val="VerbatimChar"/>
        </w:rPr>
        <w:t xml:space="preserve">geopandas</w:t>
      </w:r>
      <w:r>
        <w:t xml:space="preserve"> </w:t>
      </w:r>
      <w:r>
        <w:t xml:space="preserve">usando el atributo</w:t>
      </w:r>
      <w:r>
        <w:t xml:space="preserve"> </w:t>
      </w:r>
      <w:r>
        <w:rPr>
          <w:rStyle w:val="VerbatimChar"/>
        </w:rPr>
        <w:t xml:space="preserve">geometry.area</w:t>
      </w:r>
      <w:r>
        <w:t xml:space="preserve"> </w:t>
      </w:r>
      <w:r>
        <w:t xml:space="preserve">(Tabla</w:t>
      </w:r>
      <w:r>
        <w:t xml:space="preserve"> </w:t>
      </w:r>
      <w:r>
        <w:rPr>
          <w:rStyle w:val="VerbatimChar"/>
        </w:rPr>
        <w:t xml:space="preserve">tbl-topológia-acotado</w:t>
      </w:r>
      <w:r>
        <w:t xml:space="preserve">), se contabilizan 17, 17 y 15. La discrepancia obedece a una diferencia metodológica especifica en el calculo del área por parche cuando los polígonos contienen anillos interiores.</w:t>
      </w:r>
    </w:p>
    <w:p>
      <w:pPr>
        <w:pStyle w:val="BodyText"/>
      </w:pPr>
      <w: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t xml:space="preserve"> </w:t>
      </w:r>
      <w:r>
        <w:rPr>
          <w:rStyle w:val="VerbatimChar"/>
        </w:rPr>
        <w:t xml:space="preserve">geopandas</w:t>
      </w:r>
      <w:r>
        <w:t xml:space="preserve"> </w:t>
      </w:r>
      <w:r>
        <w:t xml:space="preserve">calcula el área neta restando los huecos –siguiendo la definicion estandar del Simple Features Access para</w:t>
      </w:r>
      <w:r>
        <w:t xml:space="preserve"> </w:t>
      </w:r>
      <w:r>
        <w:rPr>
          <w:rStyle w:val="VerbatimChar"/>
        </w:rPr>
        <w:t xml:space="preserve">Polygon.area</w:t>
      </w:r>
      <w:r>
        <w:t xml:space="preserve">– mientras que la implementacion Julia, al iterar sobre</w:t>
      </w:r>
      <w:r>
        <w:t xml:space="preserve"> </w:t>
      </w:r>
      <w:r>
        <w:rPr>
          <w:rStyle w:val="VerbatimChar"/>
        </w:rPr>
        <w:t xml:space="preserve">ring = geom.coordinates[1]</w:t>
      </w:r>
      <w: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t xml:space="preserve"> </w:t>
      </w:r>
      <w:r>
        <w:rPr>
          <w:rStyle w:val="VerbatimChar"/>
        </w:rPr>
        <w:t xml:space="preserve">geopandas</w:t>
      </w:r>
      <w:r>
        <w:t xml:space="preserve">, lo que infla el conteo de parches Julia en periodos donde la dinámica hídrica produce huecos detectables –2020 (degradación) y 2022 (recuperación), cuando los canales atraviesan manglar fragmentado por La Niña y la rehabilitacion hidráulica– y coincide en el periodo actual (2024-2025) donde los parches sobrevivientes son más compactos sin canales internos visibles.</w:t>
      </w:r>
    </w:p>
    <w:p>
      <w:pPr>
        <w:pStyle w:val="BodyText"/>
      </w:pPr>
      <w:r>
        <w:t xml:space="preserve">Ambas mediciones tienen validez metodológica diferenciada. La versión</w:t>
      </w:r>
      <w:r>
        <w:t xml:space="preserve"> </w:t>
      </w:r>
      <w:r>
        <w:rPr>
          <w:rStyle w:val="VerbatimChar"/>
        </w:rPr>
        <w:t xml:space="preserve">geopandas</w:t>
      </w:r>
      <w:r>
        <w:t xml:space="preserve"> </w:t>
      </w:r>
      <w: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t xml:space="preserve"> </w:t>
      </w:r>
      <w:r>
        <w:rPr>
          <w:rStyle w:val="VerbatimChar"/>
        </w:rPr>
        <w:t xml:space="preserve">tbl-fragmentacion-acotado</w:t>
      </w:r>
      <w:r>
        <w:t xml:space="preserve"> </w:t>
      </w:r>
      <w:r>
        <w:t xml:space="preserve">se reporta el conteo Julia con la columna explicita</w:t>
      </w:r>
      <w:r>
        <w:t xml:space="preserve"> </w:t>
      </w:r>
      <w:r>
        <w:t xml:space="preserve">“</w:t>
      </w:r>
      <w:r>
        <w:t xml:space="preserve">Parches (Julia)</w:t>
      </w:r>
      <w:r>
        <w:t xml:space="preserve">”</w:t>
      </w:r>
      <w:r>
        <w:t xml:space="preserve"> </w:t>
      </w:r>
      <w:r>
        <w:t xml:space="preserve">y se utiliza para indicadores de forma –MSI– y aislamiento –NND–, mientras que en la Tabla</w:t>
      </w:r>
      <w:r>
        <w:t xml:space="preserve"> </w:t>
      </w:r>
      <w:r>
        <w:rPr>
          <w:rStyle w:val="VerbatimChar"/>
        </w:rPr>
        <w:t xml:space="preserve">tbl-topológia-acotado</w:t>
      </w:r>
      <w:r>
        <w:t xml:space="preserve"> </w:t>
      </w:r>
      <w:r>
        <w:t xml:space="preserve">se reporta el conteo</w:t>
      </w:r>
      <w:r>
        <w:t xml:space="preserve"> </w:t>
      </w:r>
      <w:r>
        <w:rPr>
          <w:rStyle w:val="VerbatimChar"/>
        </w:rPr>
        <w:t xml:space="preserve">geopandas</w:t>
      </w:r>
      <w:r>
        <w:t xml:space="preserve"> </w:t>
      </w:r>
      <w:r>
        <w:t xml:space="preserve">y se utiliza para indicadores de superficie y para el cruce con la frontera del AOI mediante predicados DE-9IM.</w:t>
      </w:r>
    </w:p>
    <w:bookmarkEnd w:id="146"/>
    <w:bookmarkStart w:id="148" w:name="Xf4a3426e1cf5b8d32386c7adead7fd6de6140e2"/>
    <w:p>
      <w:pPr>
        <w:pStyle w:val="Heading1"/>
      </w:pPr>
      <w:r>
        <w:t xml:space="preserve">14. Anexo D: Análisis complementario con caudal máximo mensual de El Banco</w:t>
      </w:r>
    </w:p>
    <w:p>
      <w:pPr>
        <w:pStyle w:val="FirstParagraph"/>
      </w:pPr>
      <w:r>
        <w:t xml:space="preserve">El cuerpo del informe reporta el acoplamiento entre el caudal</w:t>
      </w:r>
      <w:r>
        <w:t xml:space="preserve"> </w:t>
      </w:r>
      <w:r>
        <w:rPr>
          <w:bCs/>
          <w:b/>
        </w:rPr>
        <w:t xml:space="preserve">medio mensual</w:t>
      </w:r>
      <w:r>
        <w:t xml:space="preserve"> </w:t>
      </w:r>
      <w:r>
        <w:t xml:space="preserve">del río Magdalena en El Banco y el NDVI z-score de las estaciones de la CGSM (tabla</w:t>
      </w:r>
      <w:r>
        <w:t xml:space="preserve"> </w:t>
      </w:r>
      <w:hyperlink w:anchor="tbl-caudal-corr">
        <w:r>
          <w:rPr>
            <w:rStyle w:val="Hyperlink"/>
          </w:rPr>
          <w:t xml:space="preserve">tabla 14</w:t>
        </w:r>
      </w:hyperlink>
      <w:r>
        <w:t xml:space="preserve">), en este sentido la elección del caudal medio sobre el caudal máximo obedece a la coherencia metodológica con la estación Ganadería Caribe —disponible únicamente en caudal medio mensual— y al hecho de que el régimen sostenido representa mejor la dinámica hidrológica de fondo que los pulsos extremos puntuales. Para trazabilidad metodológica se reporta a continuación el mismo análisis ejecutado sobre la serie alternativa de</w:t>
      </w:r>
      <w:r>
        <w:t xml:space="preserve"> </w:t>
      </w:r>
      <w:r>
        <w:rPr>
          <w:bCs/>
          <w:b/>
        </w:rPr>
        <w:t xml:space="preserve">caudal máximo mensual</w:t>
      </w:r>
      <w:r>
        <w:t xml:space="preserve"> </w:t>
      </w:r>
      <w:r>
        <w:t xml:space="preserve">de El Banco (variable también disponible en el portal DHIME del IDEAM, 144 observaciónes continuas 2013–2025 con media 4.398,5 m³/s y rango 1.654,8–7.322,8 m³/s), de modo que el lector pueda evaluar la sensibilidad de las correlaciónes a la elección de la variable hidrométrica.</w:t>
      </w:r>
    </w:p>
    <w:tbl>
      <w:tblPr>
        <w:tblStyle w:val="Table"/>
        <w:tblW w:type="pct" w:w="5000"/>
        <w:tblLook w:firstRow="0" w:lastRow="0" w:firstColumn="0" w:lastColumn="0" w:noHBand="0" w:noVBand="0" w:val="0000"/>
        <w:jc w:val="start"/>
        <w:tblLayout w:type="fixed"/>
      </w:tblPr>
      <w:tblGrid>
        <w:gridCol w:w="7920"/>
      </w:tblGrid>
      <w:tr>
        <w:tc>
          <w:tcPr/>
          <w:bookmarkStart w:id="147" w:name="tbl-caudal-comparación"/>
          <w:p>
            <w:pPr>
              <w:jc w:val="center"/>
            </w:pPr>
            <w:pPr>
              <w:jc w:val="start"/>
              <w:spacing w:before="200"/>
              <w:pStyle w:val="ImageCaption"/>
            </w:pPr>
            <w:r>
              <w:t xml:space="preserve">Tabla 24: Comparación de correlaciónes Pearson entre caudal mensual del río Magdalena en El Banco y NDVI z-score de la CGSM, calculadas sobre las dos variables hidrométricas disponibles: caudal máximo mensual (variable original explorada) y caudal medio mensual (variable vigente del cuerpo del informe). La columna Δ reporta la diferencia entre ambas correlaciónes.</w:t>
            </w:r>
          </w:p>
          <w:tbl>
            <w:tblPr>
              <w:tblStyle w:val="Table"/>
              <w:tblW w:type="pct" w:w="5000"/>
              <w:tblLook w:firstRow="1" w:lastRow="0" w:firstColumn="0" w:lastColumn="0" w:noHBand="0" w:noVBand="0" w:val="0020"/>
              <w:jc w:val="start"/>
              <w:tblLayout w:type="fixed"/>
            </w:tblPr>
            <w:tblGrid>
              <w:gridCol w:w="1525"/>
              <w:gridCol w:w="871"/>
              <w:gridCol w:w="1162"/>
              <w:gridCol w:w="1743"/>
              <w:gridCol w:w="2397"/>
              <w:gridCol w:w="217"/>
            </w:tblGrid>
            <w:tr>
              <w:trPr>
                <w:tblHeader w:val="true"/>
              </w:trPr>
              <w:tc>
                <w:tcPr/>
                <w:p>
                  <w:pPr>
                    <w:pStyle w:val="Compact"/>
                    <w:jc w:val="left"/>
                    <w:jc w:val="center"/>
                  </w:pPr>
                  <w:r>
                    <w:t xml:space="preserve">Estación El Banco</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máximo</m:t>
                        </m:r>
                      </m:sub>
                    </m:sSub>
                  </m:oMath>
                </w:p>
              </w:tc>
              <w:tc>
                <w:tcPr/>
                <w:p>
                  <w:pPr>
                    <w:pStyle w:val="Compact"/>
                    <w:jc w:val="left"/>
                    <w:jc w:val="center"/>
                  </w:pPr>
                  <m:oMath>
                    <m:sSub>
                      <m:e>
                        <m:r>
                          <m:t>ρ</m:t>
                        </m:r>
                      </m:e>
                      <m:sub>
                        <m:r>
                          <m:rPr>
                            <m:nor/>
                            <m:sty m:val="p"/>
                          </m:rPr>
                          <m:t>medio</m:t>
                        </m:r>
                      </m:sub>
                    </m:sSub>
                  </m:oMath>
                  <w:r>
                    <w:t xml:space="preserve"> </w:t>
                  </w:r>
                  <w:r>
                    <w:t xml:space="preserve">(vigente)</w:t>
                  </w:r>
                </w:p>
              </w:tc>
              <w:tc>
                <w:tcPr/>
                <w:p>
                  <w:pPr>
                    <w:pStyle w:val="Compact"/>
                    <w:jc w:val="left"/>
                    <w:jc w:val="center"/>
                  </w:pPr>
                  <w:r>
                    <w:t xml:space="preserve">Δ</w:t>
                  </w:r>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185</m:t>
                    </m:r>
                  </m:oMath>
                </w:p>
              </w:tc>
              <w:tc>
                <w:tcPr/>
                <w:p>
                  <w:pPr>
                    <w:pStyle w:val="Compact"/>
                    <w:jc w:val="left"/>
                    <w:jc w:val="center"/>
                  </w:pPr>
                  <m:oMath>
                    <m:r>
                      <m:rPr>
                        <m:sty m:val="p"/>
                      </m:rPr>
                      <m:t>+</m:t>
                    </m:r>
                    <m:r>
                      <m:t>0</m:t>
                    </m:r>
                    <m:r>
                      <m:rPr>
                        <m:sty m:val="p"/>
                      </m:rPr>
                      <m:t>,</m:t>
                    </m:r>
                    <m:r>
                      <m:t>064</m:t>
                    </m:r>
                  </m:oMath>
                </w:p>
              </w:tc>
              <w:tc>
                <w:tcPr/>
                <w:p>
                  <w:pPr>
                    <w:pStyle w:val="Compact"/>
                    <w:jc w:val="left"/>
                    <w:jc w:val="center"/>
                  </w:pPr>
                  <m:oMath>
                    <m:r>
                      <m:rPr>
                        <m:sty m:val="p"/>
                      </m:rPr>
                      <m:t>−</m:t>
                    </m:r>
                    <m:r>
                      <m:t>0</m:t>
                    </m:r>
                    <m:r>
                      <m:rPr>
                        <m:sty m:val="p"/>
                      </m:rPr>
                      <m:t>,</m:t>
                    </m:r>
                    <m:r>
                      <m:t>121</m:t>
                    </m:r>
                  </m:oMath>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084</m:t>
                    </m:r>
                  </m:oMath>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164</m:t>
                    </m:r>
                  </m:oMath>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056</m:t>
                    </m:r>
                  </m:oMath>
                </w:p>
              </w:tc>
            </w:tr>
            <w:tr>
              <w:tc>
                <w:tcPr/>
                <w:p>
                  <w:pPr>
                    <w:pStyle w:val="Compact"/>
                    <w:jc w:val="left"/>
                    <w:jc w:val="center"/>
                  </w:pPr>
                  <w:r>
                    <w:t xml:space="preserve">Caudal</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277</m:t>
                    </m:r>
                  </m:oMath>
                </w:p>
              </w:tc>
              <w:tc>
                <w:tcPr/>
                <w:p>
                  <w:pPr>
                    <w:pStyle w:val="Compact"/>
                    <w:jc w:val="left"/>
                    <w:jc w:val="center"/>
                  </w:pPr>
                  <m:oMath>
                    <m:r>
                      <m:rPr>
                        <m:sty m:val="p"/>
                      </m:rPr>
                      <m:t>+</m:t>
                    </m:r>
                    <m:r>
                      <m:t>0</m:t>
                    </m:r>
                    <m:r>
                      <m:rPr>
                        <m:sty m:val="p"/>
                      </m:rPr>
                      <m:t>,</m:t>
                    </m:r>
                    <m:r>
                      <m:t>256</m:t>
                    </m:r>
                  </m:oMath>
                </w:p>
              </w:tc>
              <w:tc>
                <w:tcPr/>
                <w:p>
                  <w:pPr>
                    <w:pStyle w:val="Compact"/>
                    <w:jc w:val="left"/>
                    <w:jc w:val="center"/>
                  </w:pPr>
                  <m:oMath>
                    <m:r>
                      <m:rPr>
                        <m:sty m:val="p"/>
                      </m:rPr>
                      <m:t>−</m:t>
                    </m:r>
                    <m:r>
                      <m:t>0</m:t>
                    </m:r>
                    <m:r>
                      <m:rPr>
                        <m:sty m:val="p"/>
                      </m:rPr>
                      <m:t>,</m:t>
                    </m:r>
                    <m:r>
                      <m:t>021</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169</m:t>
                    </m:r>
                  </m:oMath>
                </w:p>
              </w:tc>
              <w:tc>
                <w:tcPr/>
                <w:p>
                  <w:pPr>
                    <w:pStyle w:val="Compact"/>
                    <w:jc w:val="left"/>
                    <w:jc w:val="center"/>
                  </w:pPr>
                  <m:oMath>
                    <m:r>
                      <m:rPr>
                        <m:sty m:val="p"/>
                      </m:rPr>
                      <m:t>+</m:t>
                    </m:r>
                    <m:r>
                      <m:t>0</m:t>
                    </m:r>
                    <m:r>
                      <m:rPr>
                        <m:sty m:val="p"/>
                      </m:rPr>
                      <m:t>,</m:t>
                    </m:r>
                    <m:r>
                      <m:t>181</m:t>
                    </m:r>
                  </m:oMath>
                </w:p>
              </w:tc>
              <w:tc>
                <w:tcPr/>
                <w:p>
                  <w:pPr>
                    <w:pStyle w:val="Compact"/>
                    <w:jc w:val="left"/>
                    <w:jc w:val="center"/>
                  </w:pPr>
                  <m:oMath>
                    <m:r>
                      <m:rPr>
                        <m:sty m:val="p"/>
                      </m:rPr>
                      <m:t>+</m:t>
                    </m:r>
                    <m:r>
                      <m:t>0</m:t>
                    </m:r>
                    <m:r>
                      <m:rPr>
                        <m:sty m:val="p"/>
                      </m:rPr>
                      <m:t>,</m:t>
                    </m:r>
                    <m:r>
                      <m:t>012</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265</m:t>
                    </m:r>
                  </m:oMath>
                </w:p>
              </w:tc>
              <w:tc>
                <w:tcPr/>
                <w:p>
                  <w:pPr>
                    <w:pStyle w:val="Compact"/>
                    <w:jc w:val="left"/>
                    <w:jc w:val="center"/>
                  </w:pPr>
                  <m:oMath>
                    <m:r>
                      <m:rPr>
                        <m:sty m:val="p"/>
                      </m:rPr>
                      <m:t>+</m:t>
                    </m:r>
                    <m:r>
                      <m:t>0</m:t>
                    </m:r>
                    <m:r>
                      <m:rPr>
                        <m:sty m:val="p"/>
                      </m:rPr>
                      <m:t>,</m:t>
                    </m:r>
                    <m:r>
                      <m:t>233</m:t>
                    </m:r>
                  </m:oMath>
                </w:p>
              </w:tc>
              <w:tc>
                <w:tcPr/>
                <w:p>
                  <w:pPr>
                    <w:pStyle w:val="Compact"/>
                    <w:jc w:val="left"/>
                    <w:jc w:val="center"/>
                  </w:pPr>
                  <m:oMath>
                    <m:r>
                      <m:rPr>
                        <m:sty m:val="p"/>
                      </m:rPr>
                      <m:t>−</m:t>
                    </m:r>
                    <m:r>
                      <m:t>0</m:t>
                    </m:r>
                    <m:r>
                      <m:rPr>
                        <m:sty m:val="p"/>
                      </m:rPr>
                      <m:t>,</m:t>
                    </m:r>
                    <m:r>
                      <m:t>032</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127</m:t>
                    </m:r>
                  </m:oMath>
                </w:p>
              </w:tc>
              <w:tc>
                <w:tcPr/>
                <w:p>
                  <w:pPr>
                    <w:pStyle w:val="Compact"/>
                    <w:jc w:val="left"/>
                    <w:jc w:val="center"/>
                  </w:pPr>
                  <m:oMath>
                    <m:r>
                      <m:rPr>
                        <m:sty m:val="p"/>
                      </m:rPr>
                      <m:t>+</m:t>
                    </m:r>
                    <m:r>
                      <m:t>0</m:t>
                    </m:r>
                    <m:r>
                      <m:rPr>
                        <m:sty m:val="p"/>
                      </m:rPr>
                      <m:t>,</m:t>
                    </m:r>
                    <m:r>
                      <m:t>043</m:t>
                    </m:r>
                  </m:oMath>
                </w:p>
              </w:tc>
              <w:tc>
                <w:tcPr/>
                <w:p>
                  <w:pPr>
                    <w:pStyle w:val="Compact"/>
                    <w:jc w:val="left"/>
                    <w:jc w:val="center"/>
                  </w:pPr>
                  <m:oMath>
                    <m:r>
                      <m:rPr>
                        <m:sty m:val="p"/>
                      </m:rPr>
                      <m:t>−</m:t>
                    </m:r>
                    <m:r>
                      <m:t>0</m:t>
                    </m:r>
                    <m:r>
                      <m:rPr>
                        <m:sty m:val="p"/>
                      </m:rPr>
                      <m:t>,</m:t>
                    </m:r>
                    <m:r>
                      <m:t>084</m:t>
                    </m:r>
                  </m:oMath>
                </w:p>
              </w:tc>
            </w:tr>
            <w:tr>
              <w:tc>
                <w:tcPr/>
                <w:p>
                  <w:pPr>
                    <w:pStyle w:val="Compact"/>
                    <w:jc w:val="left"/>
                    <w:jc w:val="center"/>
                  </w:pPr>
                  <w:r>
                    <w:t xml:space="preserve">Caudal</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050</m:t>
                    </m:r>
                  </m:oMath>
                </w:p>
              </w:tc>
              <w:tc>
                <w:tcPr/>
                <w:p>
                  <w:pPr>
                    <w:pStyle w:val="Compact"/>
                    <w:jc w:val="left"/>
                    <w:jc w:val="center"/>
                  </w:pPr>
                  <m:oMath>
                    <m:r>
                      <m:rPr>
                        <m:sty m:val="p"/>
                      </m:rPr>
                      <m:t>+</m:t>
                    </m:r>
                    <m:r>
                      <m:t>0</m:t>
                    </m:r>
                    <m:r>
                      <m:rPr>
                        <m:sty m:val="p"/>
                      </m:rPr>
                      <m:t>,</m:t>
                    </m:r>
                    <m:r>
                      <m:t>011</m:t>
                    </m:r>
                  </m:oMath>
                </w:p>
              </w:tc>
            </w:tr>
          </w:tbl>
          <w:bookmarkEnd w:id="147"/>
          <w:p/>
        </w:tc>
      </w:tr>
    </w:tbl>
    <w:p>
      <w:pPr>
        <w:pStyle w:val="BodyText"/>
      </w:pPr>
      <w:r>
        <w:t xml:space="preserve">Las dos variables hidrométricas arrojan correlaciónes positivas universales con NDVI —el signo del acoplamiento es robusto a la elección de la variable— y la correlación más alta sobre el manglar se ubica en ambos casos en el rezago de tres meses, en este sentido las conclusiónes científicas del cuerpo del informe sobre el régimen de fondo se sostienen en cualquiera de las dos representaciones. La principal diferencia se observa en los rezagos cortos (</w:t>
      </w:r>
      <m:oMath>
        <m:sSub>
          <m:e>
            <m:r>
              <m:t>ρ</m:t>
            </m:r>
          </m:e>
          <m:sub>
            <m:r>
              <m:rPr>
                <m:nor/>
                <m:sty m:val="p"/>
              </m:rPr>
              <m:t>máximo</m:t>
            </m:r>
          </m:sub>
        </m:sSub>
      </m:oMath>
      <w:r>
        <w:t xml:space="preserve"> </w:t>
      </w:r>
      <w:r>
        <w:t xml:space="preserve">supera a</w:t>
      </w:r>
      <w:r>
        <w:t xml:space="preserve"> </w:t>
      </w:r>
      <m:oMath>
        <m:sSub>
          <m:e>
            <m:r>
              <m:t>ρ</m:t>
            </m:r>
          </m:e>
          <m:sub>
            <m:r>
              <m:rPr>
                <m:nor/>
                <m:sty m:val="p"/>
              </m:rPr>
              <m:t>medio</m:t>
            </m:r>
          </m:sub>
        </m:sSub>
      </m:oMath>
      <w:r>
        <w:t xml:space="preserve"> </w:t>
      </w:r>
      <w:r>
        <w:t xml:space="preserve">por 0,08–0,12 unidades en lag 0–1), lo cual es coherente con que los picos extremos del caudal máximo se asocian más rápidamente con cambios espectrales puntuales en el dosel mientras que el caudal medio captura el efecto agregado del régimen sostenido. Para análisis ecohidrológicos del régimen general se prefiere el caudal medio mensual reportado en el cuerpo del informe; para análisis específicos de pulsos extremos de avenida —línea de trabajo futuro sugerida en las conclusiónes— el caudal máximo mensual ofrece la representación apropiada.</w:t>
      </w:r>
    </w:p>
    <w:bookmarkEnd w:id="148"/>
    <w:bookmarkStart w:id="163" w:name="X87afce93389166fcff86155294321157c45f278"/>
    <w:p>
      <w:pPr>
        <w:pStyle w:val="Heading1"/>
      </w:pPr>
      <w:r>
        <w:t xml:space="preserve">15. Anexo E: Fragmentos de código complementaríos</w:t>
      </w:r>
    </w:p>
    <w:p>
      <w:pPr>
        <w:pStyle w:val="FirstParagraph"/>
      </w:pPr>
      <w: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w:t>
      </w:r>
    </w:p>
    <w:bookmarkStart w:id="154" w:name="X8010b29c17b57e56e5ad035387045cc0bb30b58"/>
    <w:p>
      <w:pPr>
        <w:pStyle w:val="Heading2"/>
      </w:pPr>
      <w:r>
        <w:t xml:space="preserve">15.1 E.1 Datacube multitemporal y series de tiempo</w:t>
      </w:r>
    </w:p>
    <w:bookmarkStart w:id="149" w:name="X0c32a2aabdf0f72047edf90bf42524e52169d25"/>
    <w:p>
      <w:pPr>
        <w:pStyle w:val="Heading3"/>
      </w:pPr>
      <w:r>
        <w:t xml:space="preserve">15.1.1 E.1.a Lectura perezosa del datacube NetCDF con xarray</w:t>
      </w:r>
    </w:p>
    <w:p>
      <w:pPr>
        <w:pStyle w:val="FirstParagraph"/>
      </w:pPr>
      <w:r>
        <w:t xml:space="preserve">El datacube trimestral materializado como NetCDF CF-1.8 se abre con evaluación perezosa mediante</w:t>
      </w:r>
      <w:r>
        <w:t xml:space="preserve"> </w:t>
      </w:r>
      <w:r>
        <w:rPr>
          <w:rStyle w:val="VerbatimChar"/>
        </w:rPr>
        <w:t xml:space="preserve">xarray.open_dataset</w:t>
      </w:r>
      <w:r>
        <w:t xml:space="preserve"> </w:t>
      </w:r>
      <w:r>
        <w:t xml:space="preserve">con argumento</w:t>
      </w:r>
      <w:r>
        <w:t xml:space="preserve"> </w:t>
      </w:r>
      <w:r>
        <w:rPr>
          <w:rStyle w:val="VerbatimChar"/>
        </w:rPr>
        <w:t xml:space="preserve">chunks</w:t>
      </w:r>
      <w:r>
        <w:t xml:space="preserve">, de modo que las operaciones de selección y reducción se planifican como un grafo de cómputo dask y solo se materializan los píxeles necesaríos al invocar</w:t>
      </w:r>
      <w:r>
        <w:t xml:space="preserve"> </w:t>
      </w:r>
      <w:r>
        <w:rPr>
          <w:rStyle w:val="VerbatimChar"/>
        </w:rPr>
        <w:t xml:space="preserve">.compute()</w:t>
      </w:r>
      <w: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rPr>
        <w:t xml:space="preserve">import</w:t>
      </w:r>
      <w:r>
        <w:rPr>
          <w:rStyle w:val="NormalTok"/>
        </w:rPr>
        <w:t xml:space="preserve"> xarray </w:t>
      </w:r>
      <w:r>
        <w:rPr>
          <w:rStyle w:val="ImportTok"/>
        </w:rPr>
        <w:t xml:space="preserve">as</w:t>
      </w:r>
      <w:r>
        <w:rPr>
          <w:rStyle w:val="NormalTok"/>
        </w:rPr>
        <w:t xml:space="preserve"> xr</w:t>
      </w:r>
      <w:r>
        <w:br/>
      </w:r>
      <w:r>
        <w:rPr>
          <w:rStyle w:val="NormalTok"/>
        </w:rPr>
        <w:t xml:space="preserve">ds </w:t>
      </w:r>
      <w:r>
        <w:rPr>
          <w:rStyle w:val="OperatorTok"/>
        </w:rPr>
        <w:t xml:space="preserve">=</w:t>
      </w:r>
      <w:r>
        <w:rPr>
          <w:rStyle w:val="NormalTok"/>
        </w:rPr>
        <w:t xml:space="preserve"> xr.open_dataset(</w:t>
      </w:r>
      <w:r>
        <w:rPr>
          <w:rStyle w:val="StringTok"/>
        </w:rPr>
        <w:t xml:space="preserve">'data/processed/cubo/cgsm_datacube_trimestral.nc'</w:t>
      </w:r>
      <w:r>
        <w:rPr>
          <w:rStyle w:val="NormalTok"/>
        </w:rPr>
        <w:t xml:space="preserve">,</w:t>
      </w:r>
      <w:r>
        <w:br/>
      </w:r>
      <w:r>
        <w:rPr>
          <w:rStyle w:val="NormalTok"/>
        </w:rPr>
        <w:t xml:space="preserve">                     chunks</w:t>
      </w:r>
      <w:r>
        <w:rPr>
          <w:rStyle w:val="OperatorTok"/>
        </w:rPr>
        <w:t xml:space="preserve">=</w:t>
      </w:r>
      <w:r>
        <w:rPr>
          <w:rStyle w:val="NormalTok"/>
        </w:rPr>
        <w:t xml:space="preserve">{</w:t>
      </w:r>
      <w:r>
        <w:rPr>
          <w:rStyle w:val="StringTok"/>
        </w:rPr>
        <w:t xml:space="preserve">'time'</w:t>
      </w:r>
      <w:r>
        <w:rPr>
          <w:rStyle w:val="NormalTok"/>
        </w:rPr>
        <w:t xml:space="preserve">: </w:t>
      </w:r>
      <w:r>
        <w:rPr>
          <w:rStyle w:val="DecValTok"/>
        </w:rPr>
        <w:t xml:space="preserve">1</w:t>
      </w:r>
      <w:r>
        <w:rPr>
          <w:rStyle w:val="NormalTok"/>
        </w:rPr>
        <w:t xml:space="preserve">, </w:t>
      </w:r>
      <w:r>
        <w:rPr>
          <w:rStyle w:val="StringTok"/>
        </w:rPr>
        <w:t xml:space="preserve">'x'</w:t>
      </w:r>
      <w:r>
        <w:rPr>
          <w:rStyle w:val="NormalTok"/>
        </w:rPr>
        <w:t xml:space="preserve">: </w:t>
      </w:r>
      <w:r>
        <w:rPr>
          <w:rStyle w:val="DecValTok"/>
        </w:rPr>
        <w:t xml:space="preserve">512</w:t>
      </w:r>
      <w:r>
        <w:rPr>
          <w:rStyle w:val="NormalTok"/>
        </w:rPr>
        <w:t xml:space="preserve">, </w:t>
      </w:r>
      <w:r>
        <w:rPr>
          <w:rStyle w:val="StringTok"/>
        </w:rPr>
        <w:t xml:space="preserve">'y'</w:t>
      </w:r>
      <w:r>
        <w:rPr>
          <w:rStyle w:val="NormalTok"/>
        </w:rPr>
        <w:t xml:space="preserve">: </w:t>
      </w:r>
      <w:r>
        <w:rPr>
          <w:rStyle w:val="DecValTok"/>
        </w:rPr>
        <w:t xml:space="preserve">512</w:t>
      </w:r>
      <w:r>
        <w:rPr>
          <w:rStyle w:val="NormalTok"/>
        </w:rPr>
        <w:t xml:space="preserve">})</w:t>
      </w:r>
      <w:r>
        <w:br/>
      </w:r>
      <w:r>
        <w:rPr>
          <w:rStyle w:val="CommentTok"/>
        </w:rPr>
        <w:t xml:space="preserve"># Atributos CF-1.8: Conventions, institution, creator_name, crs_origen, ...</w:t>
      </w:r>
      <w:r>
        <w:br/>
      </w:r>
      <w:r>
        <w:rPr>
          <w:rStyle w:val="CommentTok"/>
        </w:rPr>
        <w:t xml:space="preserve"># Acceso perezoso por chunks; .compute() materializa cuando es necesario</w:t>
      </w:r>
      <w:r>
        <w:br/>
      </w:r>
      <w:r>
        <w:rPr>
          <w:rStyle w:val="NormalTok"/>
        </w:rPr>
        <w:t xml:space="preserve">ndvi_serie </w:t>
      </w:r>
      <w:r>
        <w:rPr>
          <w:rStyle w:val="OperatorTok"/>
        </w:rPr>
        <w:t xml:space="preserve">=</w:t>
      </w:r>
      <w:r>
        <w:rPr>
          <w:rStyle w:val="NormalTok"/>
        </w:rPr>
        <w:t xml:space="preserve"> ds[</w:t>
      </w:r>
      <w:r>
        <w:rPr>
          <w:rStyle w:val="StringTok"/>
        </w:rPr>
        <w:t xml:space="preserve">'reflectance'</w:t>
      </w:r>
      <w:r>
        <w:rPr>
          <w:rStyle w:val="NormalTok"/>
        </w:rPr>
        <w:t xml:space="preserve">].sel(band_idx</w:t>
      </w:r>
      <w:r>
        <w:rPr>
          <w:rStyle w:val="OperatorTok"/>
        </w:rPr>
        <w:t xml:space="preserve">=</w:t>
      </w:r>
      <w:r>
        <w:rPr>
          <w:rStyle w:val="StringTok"/>
        </w:rPr>
        <w:t xml:space="preserve">'NDVI'</w:t>
      </w:r>
      <w:r>
        <w:rPr>
          <w:rStyle w:val="NormalTok"/>
        </w:rPr>
        <w:t xml:space="preserve">).median(dim</w:t>
      </w:r>
      <w:r>
        <w:rPr>
          <w:rStyle w:val="OperatorTok"/>
        </w:rPr>
        <w:t xml:space="preserve">=</w:t>
      </w:r>
      <w:r>
        <w:rPr>
          <w:rStyle w:val="NormalTok"/>
        </w:rPr>
        <w:t xml:space="preserve">[</w:t>
      </w:r>
      <w:r>
        <w:rPr>
          <w:rStyle w:val="StringTok"/>
        </w:rPr>
        <w:t xml:space="preserve">'x'</w:t>
      </w:r>
      <w:r>
        <w:rPr>
          <w:rStyle w:val="NormalTok"/>
        </w:rPr>
        <w:t xml:space="preserve">,</w:t>
      </w:r>
      <w:r>
        <w:rPr>
          <w:rStyle w:val="StringTok"/>
        </w:rPr>
        <w:t xml:space="preserve">'y'</w:t>
      </w:r>
      <w:r>
        <w:rPr>
          <w:rStyle w:val="NormalTok"/>
        </w:rPr>
        <w:t xml:space="preserve">]).compute()</w:t>
      </w:r>
    </w:p>
    <w:bookmarkEnd w:id="149"/>
    <w:bookmarkStart w:id="150" w:name="Xfeb72fc2201e9c1da4ed9ebedc0ab7adc64d185"/>
    <w:p>
      <w:pPr>
        <w:pStyle w:val="Heading3"/>
      </w:pPr>
      <w:r>
        <w:t xml:space="preserve">15.1.2 E.1.b Z-scores y detección de anomalías NDVI en Python</w:t>
      </w:r>
    </w:p>
    <w:p>
      <w:pPr>
        <w:pStyle w:val="FirstParagraph"/>
      </w:pPr>
      <w:r>
        <w:t xml:space="preserve">Sobre la serie combinada Landsat 8 + Sentinel-2 (929 observaciónes mensuales) se calcula el z-score temporal por estación mediante</w:t>
      </w:r>
      <w:r>
        <w:t xml:space="preserve"> </w:t>
      </w:r>
      <w:r>
        <w:rPr>
          <w:rStyle w:val="VerbatimChar"/>
        </w:rPr>
        <w:t xml:space="preserve">groupby().transform()</w:t>
      </w:r>
      <w:r>
        <w:t xml:space="preserve">, lo que permite identificar las anomalías pronunciadas como aquellas con</w:t>
      </w:r>
      <w:r>
        <w:t xml:space="preserve"> </w:t>
      </w:r>
      <m:oMath>
        <m:r>
          <m:t>z</m:t>
        </m:r>
        <m:r>
          <m:rPr>
            <m:sty m:val="p"/>
          </m:rPr>
          <m:t>&lt;</m:t>
        </m:r>
        <m:r>
          <m:rPr>
            <m:sty m:val="p"/>
          </m:rPr>
          <m:t>−</m:t>
        </m:r>
        <m:r>
          <m:t>2</m:t>
        </m:r>
      </m:oMath>
      <w:r>
        <w:t xml:space="preserve">. El resultado alimenta tanto la tabla de eventos de mortandad reportados en la Fase 2 como la lógica del módulo de alertas tempranas del Nivel 2 del Digital Twin.</w:t>
      </w:r>
    </w:p>
    <w:p>
      <w:pPr>
        <w:pStyle w:val="SourceCode"/>
      </w:pPr>
      <w:r>
        <w:rPr>
          <w:rStyle w:val="CommentTok"/>
        </w:rPr>
        <w:t xml:space="preserve"># Z-scores y detección de anomalias por estación</w:t>
      </w:r>
      <w:r>
        <w:br/>
      </w:r>
      <w:r>
        <w:rPr>
          <w:rStyle w:val="NormalTok"/>
        </w:rPr>
        <w:t xml:space="preserve">df[</w:t>
      </w:r>
      <w:r>
        <w:rPr>
          <w:rStyle w:val="StringTok"/>
        </w:rPr>
        <w:t xml:space="preserve">'z_score'</w:t>
      </w:r>
      <w:r>
        <w:rPr>
          <w:rStyle w:val="NormalTok"/>
        </w:rPr>
        <w:t xml:space="preserve">] </w:t>
      </w:r>
      <w:r>
        <w:rPr>
          <w:rStyle w:val="OperatorTok"/>
        </w:rPr>
        <w:t xml:space="preserve">=</w:t>
      </w:r>
      <w:r>
        <w:rPr>
          <w:rStyle w:val="NormalTok"/>
        </w:rPr>
        <w:t xml:space="preserve"> df.groupby(</w:t>
      </w:r>
      <w:r>
        <w:rPr>
          <w:rStyle w:val="StringTok"/>
        </w:rPr>
        <w:t xml:space="preserve">'estación'</w:t>
      </w:r>
      <w:r>
        <w:rPr>
          <w:rStyle w:val="NormalTok"/>
        </w:rPr>
        <w:t xml:space="preserve">)[</w:t>
      </w:r>
      <w:r>
        <w:rPr>
          <w:rStyle w:val="StringTok"/>
        </w:rPr>
        <w:t xml:space="preserve">'ndvi'</w:t>
      </w:r>
      <w:r>
        <w:rPr>
          <w:rStyle w:val="NormalTok"/>
        </w:rPr>
        <w:t xml:space="preserve">].transform(</w:t>
      </w:r>
      <w:r>
        <w:br/>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x.mean()) </w:t>
      </w:r>
      <w:r>
        <w:rPr>
          <w:rStyle w:val="OperatorTok"/>
        </w:rPr>
        <w:t xml:space="preserve">/</w:t>
      </w:r>
      <w:r>
        <w:rPr>
          <w:rStyle w:val="NormalTok"/>
        </w:rPr>
        <w:t xml:space="preserve"> x.std())</w:t>
      </w:r>
      <w:r>
        <w:br/>
      </w:r>
      <w:r>
        <w:rPr>
          <w:rStyle w:val="NormalTok"/>
        </w:rPr>
        <w:t xml:space="preserve">anomalias </w:t>
      </w:r>
      <w:r>
        <w:rPr>
          <w:rStyle w:val="OperatorTok"/>
        </w:rPr>
        <w:t xml:space="preserve">=</w:t>
      </w:r>
      <w:r>
        <w:rPr>
          <w:rStyle w:val="NormalTok"/>
        </w:rPr>
        <w:t xml:space="preserve"> df[df[</w:t>
      </w:r>
      <w:r>
        <w:rPr>
          <w:rStyle w:val="StringTok"/>
        </w:rPr>
        <w:t xml:space="preserve">'z_score'</w:t>
      </w:r>
      <w:r>
        <w:rPr>
          <w:rStyle w:val="NormalTok"/>
        </w:rPr>
        <w:t xml:space="preserve">] </w:t>
      </w:r>
      <w:r>
        <w:rPr>
          <w:rStyle w:val="OperatorTok"/>
        </w:rPr>
        <w:t xml:space="preserve">&lt;</w:t>
      </w:r>
      <w:r>
        <w:rPr>
          <w:rStyle w:val="NormalTok"/>
        </w:rPr>
        <w:t xml:space="preserve"> </w:t>
      </w:r>
      <w:r>
        <w:rPr>
          <w:rStyle w:val="OperatorTok"/>
        </w:rPr>
        <w:t xml:space="preserve">-</w:t>
      </w:r>
      <w:r>
        <w:rPr>
          <w:rStyle w:val="DecValTok"/>
        </w:rPr>
        <w:t xml:space="preserve">2</w:t>
      </w:r>
      <w:r>
        <w:rPr>
          <w:rStyle w:val="NormalTok"/>
        </w:rPr>
        <w:t xml:space="preserve">].sort_values(</w:t>
      </w:r>
      <w:r>
        <w:rPr>
          <w:rStyle w:val="StringTok"/>
        </w:rPr>
        <w:t xml:space="preserve">'z_score'</w:t>
      </w:r>
      <w:r>
        <w:rPr>
          <w:rStyle w:val="NormalTok"/>
        </w:rPr>
        <w:t xml:space="preserve">)</w:t>
      </w:r>
    </w:p>
    <w:bookmarkEnd w:id="150"/>
    <w:bookmarkStart w:id="151" w:name="X44205112256e9dc8e51effec831e909c6271553"/>
    <w:p>
      <w:pPr>
        <w:pStyle w:val="Heading3"/>
      </w:pPr>
      <w:r>
        <w:t xml:space="preserve">15.1.3 E.1.c Cubo</w:t>
      </w:r>
      <w:r>
        <w:t xml:space="preserve"> </w:t>
      </w:r>
      <w:r>
        <w:rPr>
          <w:rStyle w:val="VerbatimChar"/>
        </w:rPr>
        <w:t xml:space="preserve">stars</w:t>
      </w:r>
      <w:r>
        <w:t xml:space="preserve"> </w:t>
      </w:r>
      <w:r>
        <w:t xml:space="preserve">en R y extracción sobre estaciones INVEMAR</w:t>
      </w:r>
    </w:p>
    <w:p>
      <w:pPr>
        <w:pStyle w:val="FirstParagraph"/>
      </w:pPr>
      <w:r>
        <w:t xml:space="preserve">Como contraparte local del flujo Python+GEE de la Fase 2, los TIFs trimestrales descargados desde GEE se ensamblan en R como un cubo</w:t>
      </w:r>
      <w:r>
        <w:t xml:space="preserve"> </w:t>
      </w:r>
      <w:r>
        <w:rPr>
          <w:rStyle w:val="VerbatimChar"/>
        </w:rPr>
        <w:t xml:space="preserve">stars</w:t>
      </w:r>
      <w:r>
        <w:t xml:space="preserve"> </w:t>
      </w:r>
      <w:r>
        <w:t xml:space="preserve">proxy —con evaluación perezosa hasta que</w:t>
      </w:r>
      <w:r>
        <w:t xml:space="preserve"> </w:t>
      </w:r>
      <w:r>
        <w:rPr>
          <w:rStyle w:val="VerbatimChar"/>
        </w:rPr>
        <w:t xml:space="preserve">st_extract</w:t>
      </w:r>
      <w:r>
        <w:t xml:space="preserve"> </w:t>
      </w:r>
      <w:r>
        <w:t xml:space="preserve">materializa los valores sobre las ocho estaciones INVEMAR—. La salida</w:t>
      </w:r>
      <w:r>
        <w:t xml:space="preserve"> </w:t>
      </w:r>
      <w:r>
        <w:rPr>
          <w:rStyle w:val="VerbatimChar"/>
        </w:rPr>
        <w:t xml:space="preserve">series_temporales_stars.csv</w:t>
      </w:r>
      <w:r>
        <w:t xml:space="preserve"> </w:t>
      </w:r>
      <w:r>
        <w:t xml:space="preserve">se contrasta contra</w:t>
      </w:r>
      <w:r>
        <w:t xml:space="preserve"> </w:t>
      </w:r>
      <w:r>
        <w:rPr>
          <w:rStyle w:val="VerbatimChar"/>
        </w:rPr>
        <w:t xml:space="preserve">serie_temporal_ndvi_definitiva.csv</w:t>
      </w:r>
      <w:r>
        <w:t xml:space="preserve"> </w:t>
      </w:r>
      <w:r>
        <w:t xml:space="preserve">para sostener la validación cruzada multilingüe Python ↔ R reportada en la sección homónima.</w:t>
      </w:r>
    </w:p>
    <w:p>
      <w:pPr>
        <w:pStyle w:val="SourceCode"/>
      </w:pPr>
      <w:r>
        <w:rPr>
          <w:rStyle w:val="FunctionTok"/>
        </w:rPr>
        <w:t xml:space="preserve">library</w:t>
      </w:r>
      <w:r>
        <w:rPr>
          <w:rStyle w:val="NormalTok"/>
        </w:rPr>
        <w:t xml:space="preserve">(stars); </w:t>
      </w:r>
      <w:r>
        <w:rPr>
          <w:rStyle w:val="FunctionTok"/>
        </w:rPr>
        <w:t xml:space="preserve">library</w:t>
      </w:r>
      <w:r>
        <w:rPr>
          <w:rStyle w:val="NormalTok"/>
        </w:rPr>
        <w:t xml:space="preserve">(sf); </w:t>
      </w:r>
      <w:r>
        <w:rPr>
          <w:rStyle w:val="FunctionTok"/>
        </w:rPr>
        <w:t xml:space="preserve">library</w:t>
      </w:r>
      <w:r>
        <w:rPr>
          <w:rStyle w:val="NormalTok"/>
        </w:rPr>
        <w:t xml:space="preserve">(dplyr)</w:t>
      </w:r>
      <w:r>
        <w:br/>
      </w:r>
      <w:r>
        <w:rPr>
          <w:rStyle w:val="NormalTok"/>
        </w:rPr>
        <w:t xml:space="preserve">tifs   </w:t>
      </w:r>
      <w:r>
        <w:rPr>
          <w:rStyle w:val="OtherTok"/>
        </w:rPr>
        <w:t xml:space="preserve">&lt;-</w:t>
      </w:r>
      <w:r>
        <w:rPr>
          <w:rStyle w:val="NormalTok"/>
        </w:rPr>
        <w:t xml:space="preserve"> </w:t>
      </w:r>
      <w:r>
        <w:rPr>
          <w:rStyle w:val="FunctionTok"/>
        </w:rPr>
        <w:t xml:space="preserve">list.files</w:t>
      </w:r>
      <w:r>
        <w:rPr>
          <w:rStyle w:val="NormalTok"/>
        </w:rPr>
        <w:t xml:space="preserve">(</w:t>
      </w:r>
      <w:r>
        <w:rPr>
          <w:rStyle w:val="StringTok"/>
        </w:rPr>
        <w:t xml:space="preserve">"data/processed/s2"</w:t>
      </w:r>
      <w:r>
        <w:rPr>
          <w:rStyle w:val="NormalTok"/>
        </w:rPr>
        <w:t xml:space="preserve">, </w:t>
      </w:r>
      <w:r>
        <w:rPr>
          <w:rStyle w:val="AttributeTok"/>
        </w:rPr>
        <w:t xml:space="preserve">pattern =</w:t>
      </w:r>
      <w:r>
        <w:rPr>
          <w:rStyle w:val="NormalTok"/>
        </w:rPr>
        <w:t xml:space="preserve"> </w:t>
      </w:r>
      <w:r>
        <w:rPr>
          <w:rStyle w:val="StringTok"/>
        </w:rPr>
        <w:t xml:space="preserve">"NDVI.*</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fechas </w:t>
      </w:r>
      <w:r>
        <w:rPr>
          <w:rStyle w:val="OtherTok"/>
        </w:rPr>
        <w:t xml:space="preserve">&lt;-</w:t>
      </w:r>
      <w:r>
        <w:rPr>
          <w:rStyle w:val="NormalTok"/>
        </w:rPr>
        <w:t xml:space="preserve"> </w:t>
      </w:r>
      <w:r>
        <w:rPr>
          <w:rStyle w:val="FunctionTok"/>
        </w:rPr>
        <w:t xml:space="preserve">as.Date</w:t>
      </w:r>
      <w:r>
        <w:rPr>
          <w:rStyle w:val="NormalTok"/>
        </w:rPr>
        <w:t xml:space="preserve">(stringr</w:t>
      </w:r>
      <w:r>
        <w:rPr>
          <w:rStyle w:val="SpecialCharTok"/>
        </w:rPr>
        <w:t xml:space="preserve">::</w:t>
      </w:r>
      <w:r>
        <w:rPr>
          <w:rStyle w:val="FunctionTok"/>
        </w:rPr>
        <w:t xml:space="preserve">str_match</w:t>
      </w:r>
      <w:r>
        <w:rPr>
          <w:rStyle w:val="NormalTok"/>
        </w:rPr>
        <w:t xml:space="preserve">(</w:t>
      </w:r>
      <w:r>
        <w:rPr>
          <w:rStyle w:val="FunctionTok"/>
        </w:rPr>
        <w:t xml:space="preserve">basename</w:t>
      </w:r>
      <w:r>
        <w:rPr>
          <w:rStyle w:val="NormalTok"/>
        </w:rPr>
        <w:t xml:space="preserve">(tifs), </w:t>
      </w:r>
      <w:r>
        <w:rPr>
          <w:rStyle w:val="StringTok"/>
        </w:rPr>
        <w:t xml:space="preserve">"(</w:t>
      </w:r>
      <w:r>
        <w:rPr>
          <w:rStyle w:val="SpecialCharTok"/>
        </w:rPr>
        <w:t xml:space="preserve">\\</w:t>
      </w:r>
      <w:r>
        <w:rPr>
          <w:rStyle w:val="StringTok"/>
        </w:rPr>
        <w:t xml:space="preserve">d{4})_Q(</w:t>
      </w:r>
      <w:r>
        <w:rPr>
          <w:rStyle w:val="SpecialCharTok"/>
        </w:rPr>
        <w:t xml:space="preserve">\\</w:t>
      </w:r>
      <w:r>
        <w:rPr>
          <w:rStyle w:val="StringTok"/>
        </w:rPr>
        <w:t xml:space="preserve">d)"</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cubo   </w:t>
      </w:r>
      <w:r>
        <w:rPr>
          <w:rStyle w:val="OtherTok"/>
        </w:rPr>
        <w:t xml:space="preserve">&lt;-</w:t>
      </w:r>
      <w:r>
        <w:rPr>
          <w:rStyle w:val="NormalTok"/>
        </w:rPr>
        <w:t xml:space="preserve"> </w:t>
      </w:r>
      <w:r>
        <w:rPr>
          <w:rStyle w:val="FunctionTok"/>
        </w:rPr>
        <w:t xml:space="preserve">read_stars</w:t>
      </w:r>
      <w:r>
        <w:rPr>
          <w:rStyle w:val="NormalTok"/>
        </w:rPr>
        <w:t xml:space="preserve">(tifs, </w:t>
      </w:r>
      <w:r>
        <w:rPr>
          <w:rStyle w:val="AttributeTok"/>
        </w:rPr>
        <w:t xml:space="preserve">along =</w:t>
      </w:r>
      <w:r>
        <w:rPr>
          <w:rStyle w:val="NormalTok"/>
        </w:rPr>
        <w:t xml:space="preserve"> </w:t>
      </w:r>
      <w:r>
        <w:rPr>
          <w:rStyle w:val="FunctionTok"/>
        </w:rPr>
        <w:t xml:space="preserve">list</w:t>
      </w:r>
      <w:r>
        <w:rPr>
          <w:rStyle w:val="NormalTok"/>
        </w:rPr>
        <w:t xml:space="preserve">(</w:t>
      </w:r>
      <w:r>
        <w:rPr>
          <w:rStyle w:val="AttributeTok"/>
        </w:rPr>
        <w:t xml:space="preserve">time =</w:t>
      </w:r>
      <w:r>
        <w:rPr>
          <w:rStyle w:val="NormalTok"/>
        </w:rPr>
        <w:t xml:space="preserve"> fechas), </w:t>
      </w:r>
      <w:r>
        <w:rPr>
          <w:rStyle w:val="AttributeTok"/>
        </w:rPr>
        <w:t xml:space="preserve">proxy =</w:t>
      </w:r>
      <w:r>
        <w:rPr>
          <w:rStyle w:val="NormalTok"/>
        </w:rPr>
        <w:t xml:space="preserve"> </w:t>
      </w:r>
      <w:r>
        <w:rPr>
          <w:rStyle w:val="ConstantTok"/>
        </w:rPr>
        <w:t xml:space="preserve">TRUE</w:t>
      </w:r>
      <w:r>
        <w:rPr>
          <w:rStyle w:val="NormalTok"/>
        </w:rPr>
        <w:t xml:space="preserve">)</w:t>
      </w:r>
      <w:r>
        <w:br/>
      </w:r>
      <w:r>
        <w:rPr>
          <w:rStyle w:val="NormalTok"/>
        </w:rPr>
        <w:t xml:space="preserve">serie  </w:t>
      </w:r>
      <w:r>
        <w:rPr>
          <w:rStyle w:val="OtherTok"/>
        </w:rPr>
        <w:t xml:space="preserve">&lt;-</w:t>
      </w:r>
      <w:r>
        <w:rPr>
          <w:rStyle w:val="NormalTok"/>
        </w:rPr>
        <w:t xml:space="preserve"> </w:t>
      </w:r>
      <w:r>
        <w:rPr>
          <w:rStyle w:val="FunctionTok"/>
        </w:rPr>
        <w:t xml:space="preserve">st_extract</w:t>
      </w:r>
      <w:r>
        <w:rPr>
          <w:rStyle w:val="NormalTok"/>
        </w:rPr>
        <w:t xml:space="preserve">(cubo, </w:t>
      </w:r>
      <w:r>
        <w:rPr>
          <w:rStyle w:val="FunctionTok"/>
        </w:rPr>
        <w:t xml:space="preserve">st_transform</w:t>
      </w:r>
      <w:r>
        <w:rPr>
          <w:rStyle w:val="NormalTok"/>
        </w:rPr>
        <w:t xml:space="preserve">(estaciones_sf, </w:t>
      </w:r>
      <w:r>
        <w:rPr>
          <w:rStyle w:val="FunctionTok"/>
        </w:rPr>
        <w:t xml:space="preserve">st_crs</w:t>
      </w:r>
      <w:r>
        <w:rPr>
          <w:rStyle w:val="NormalTok"/>
        </w:rPr>
        <w:t xml:space="preserve">(cubo)))</w:t>
      </w:r>
    </w:p>
    <w:bookmarkEnd w:id="151"/>
    <w:bookmarkStart w:id="152" w:name="X231786d8da045f22cfb6544a59075b666112cdb"/>
    <w:p>
      <w:pPr>
        <w:pStyle w:val="Heading3"/>
      </w:pPr>
      <w:r>
        <w:t xml:space="preserve">15.1.4 E.1.d Construcción de la colección Sentinel-2 SR Harmonized y cálculo de índices</w:t>
      </w:r>
    </w:p>
    <w:p>
      <w:pPr>
        <w:pStyle w:val="FirstParagraph"/>
      </w:pPr>
      <w:r>
        <w:t xml:space="preserve">La colección óptica del proyecto se arma en Google Earth Engine filtrando</w:t>
      </w:r>
      <w:r>
        <w:t xml:space="preserve"> </w:t>
      </w:r>
      <w:r>
        <w:rPr>
          <w:rStyle w:val="VerbatimChar"/>
        </w:rPr>
        <w:t xml:space="preserve">COPERNICUS/S2_SR_HARMONIZED</w:t>
      </w:r>
      <w:r>
        <w:t xml:space="preserve"> </w:t>
      </w:r>
      <w: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rPr>
        <w:t xml:space="preserve"># Construir coleccion S2 SR Harmonized y agregar tres indices espectrales</w:t>
      </w:r>
      <w:r>
        <w:br/>
      </w:r>
      <w:r>
        <w:rPr>
          <w:rStyle w:val="KeywordTok"/>
        </w:rPr>
        <w:t xml:space="preserve">def</w:t>
      </w:r>
      <w:r>
        <w:rPr>
          <w:rStyle w:val="NormalTok"/>
        </w:rPr>
        <w:t xml:space="preserve"> add_indices(image):</w:t>
      </w:r>
      <w:r>
        <w:br/>
      </w:r>
      <w:r>
        <w:rPr>
          <w:rStyle w:val="NormalTok"/>
        </w:rPr>
        <w:t xml:space="preserve">    ndvi </w:t>
      </w:r>
      <w:r>
        <w:rPr>
          <w:rStyle w:val="OperatorTok"/>
        </w:rPr>
        <w:t xml:space="preserve">=</w:t>
      </w:r>
      <w:r>
        <w:rPr>
          <w:rStyle w:val="NormalTok"/>
        </w:rPr>
        <w:t xml:space="preserve"> image.normalizedDifference([</w:t>
      </w:r>
      <w:r>
        <w:rPr>
          <w:rStyle w:val="StringTok"/>
        </w:rPr>
        <w:t xml:space="preserve">'B8'</w:t>
      </w:r>
      <w:r>
        <w:rPr>
          <w:rStyle w:val="NormalTok"/>
        </w:rPr>
        <w:t xml:space="preserve">, </w:t>
      </w:r>
      <w:r>
        <w:rPr>
          <w:rStyle w:val="StringTok"/>
        </w:rPr>
        <w:t xml:space="preserve">'B4'</w:t>
      </w:r>
      <w:r>
        <w:rPr>
          <w:rStyle w:val="NormalTok"/>
        </w:rPr>
        <w:t xml:space="preserve">]).rename(</w:t>
      </w:r>
      <w:r>
        <w:rPr>
          <w:rStyle w:val="StringTok"/>
        </w:rPr>
        <w:t xml:space="preserve">'NDVI'</w:t>
      </w:r>
      <w:r>
        <w:rPr>
          <w:rStyle w:val="NormalTok"/>
        </w:rPr>
        <w:t xml:space="preserve">)</w:t>
      </w:r>
      <w:r>
        <w:br/>
      </w:r>
      <w:r>
        <w:rPr>
          <w:rStyle w:val="NormalTok"/>
        </w:rPr>
        <w:t xml:space="preserve">    ndwi </w:t>
      </w:r>
      <w:r>
        <w:rPr>
          <w:rStyle w:val="OperatorTok"/>
        </w:rPr>
        <w:t xml:space="preserve">=</w:t>
      </w:r>
      <w:r>
        <w:rPr>
          <w:rStyle w:val="NormalTok"/>
        </w:rPr>
        <w:t xml:space="preserve"> image.normalizedDifference([</w:t>
      </w:r>
      <w:r>
        <w:rPr>
          <w:rStyle w:val="StringTok"/>
        </w:rPr>
        <w:t xml:space="preserve">'B3'</w:t>
      </w:r>
      <w:r>
        <w:rPr>
          <w:rStyle w:val="NormalTok"/>
        </w:rPr>
        <w:t xml:space="preserve">, </w:t>
      </w:r>
      <w:r>
        <w:rPr>
          <w:rStyle w:val="StringTok"/>
        </w:rPr>
        <w:t xml:space="preserve">'B8'</w:t>
      </w:r>
      <w:r>
        <w:rPr>
          <w:rStyle w:val="NormalTok"/>
        </w:rPr>
        <w:t xml:space="preserve">]).rename(</w:t>
      </w:r>
      <w:r>
        <w:rPr>
          <w:rStyle w:val="StringTok"/>
        </w:rPr>
        <w:t xml:space="preserve">'NDWI'</w:t>
      </w:r>
      <w:r>
        <w:rPr>
          <w:rStyle w:val="NormalTok"/>
        </w:rPr>
        <w:t xml:space="preserve">)</w:t>
      </w:r>
      <w:r>
        <w:br/>
      </w:r>
      <w:r>
        <w:rPr>
          <w:rStyle w:val="NormalTok"/>
        </w:rPr>
        <w:t xml:space="preserve">    cmri </w:t>
      </w:r>
      <w:r>
        <w:rPr>
          <w:rStyle w:val="OperatorTok"/>
        </w:rPr>
        <w:t xml:space="preserve">=</w:t>
      </w:r>
      <w:r>
        <w:rPr>
          <w:rStyle w:val="NormalTok"/>
        </w:rPr>
        <w:t xml:space="preserve"> ndvi.subtract(ndwi).rename(</w:t>
      </w:r>
      <w:r>
        <w:rPr>
          <w:rStyle w:val="StringTok"/>
        </w:rPr>
        <w:t xml:space="preserve">'CMRI'</w:t>
      </w:r>
      <w:r>
        <w:rPr>
          <w:rStyle w:val="NormalTok"/>
        </w:rPr>
        <w:t xml:space="preserve">)</w:t>
      </w:r>
      <w:r>
        <w:br/>
      </w:r>
      <w:r>
        <w:rPr>
          <w:rStyle w:val="NormalTok"/>
        </w:rPr>
        <w:t xml:space="preserve">    </w:t>
      </w:r>
      <w:r>
        <w:rPr>
          <w:rStyle w:val="ControlFlowTok"/>
        </w:rPr>
        <w:t xml:space="preserve">return</w:t>
      </w:r>
      <w:r>
        <w:rPr>
          <w:rStyle w:val="NormalTok"/>
        </w:rPr>
        <w:t xml:space="preserve"> image.addBands([ndvi, ndwi, cmri])</w:t>
      </w:r>
      <w:r>
        <w:br/>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rPr>
          <w:rStyle w:val="NormalTok"/>
        </w:rPr>
        <w:t xml:space="preserve">        .filterBounds(aoi)</w:t>
      </w:r>
      <w:r>
        <w:br/>
      </w:r>
      <w:r>
        <w:rPr>
          <w:rStyle w:val="NormalTok"/>
        </w:rPr>
        <w:t xml:space="preserve">        .filterDate(</w:t>
      </w:r>
      <w:r>
        <w:rPr>
          <w:rStyle w:val="StringTok"/>
        </w:rPr>
        <w:t xml:space="preserve">'2018-01-01'</w:t>
      </w:r>
      <w:r>
        <w:rPr>
          <w:rStyle w:val="NormalTok"/>
        </w:rPr>
        <w:t xml:space="preserve">, </w:t>
      </w:r>
      <w:r>
        <w:rPr>
          <w:rStyle w:val="StringTok"/>
        </w:rPr>
        <w:t xml:space="preserve">'2025-12-31'</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BuiltInTok"/>
        </w:rPr>
        <w:t xml:space="preserve">map</w:t>
      </w:r>
      <w:r>
        <w:rPr>
          <w:rStyle w:val="NormalTok"/>
        </w:rPr>
        <w:t xml:space="preserve">(mask_s2_clouds)</w:t>
      </w:r>
      <w:r>
        <w:br/>
      </w:r>
      <w:r>
        <w:rPr>
          <w:rStyle w:val="NormalTok"/>
        </w:rPr>
        <w:t xml:space="preserve">        .</w:t>
      </w:r>
      <w:r>
        <w:rPr>
          <w:rStyle w:val="BuiltInTok"/>
        </w:rPr>
        <w:t xml:space="preserve">map</w:t>
      </w:r>
      <w:r>
        <w:rPr>
          <w:rStyle w:val="NormalTok"/>
        </w:rPr>
        <w:t xml:space="preserve">(add_indices))</w:t>
      </w:r>
    </w:p>
    <w:bookmarkEnd w:id="152"/>
    <w:bookmarkStart w:id="153" w:name="X4eca77374d8b0e779af7afe908a4b7ed04f26a6"/>
    <w:p>
      <w:pPr>
        <w:pStyle w:val="Heading3"/>
      </w:pPr>
      <w:r>
        <w:t xml:space="preserve">15.1.5 E.1.e Detección de quiebres estructurales con bfast en R</w:t>
      </w:r>
    </w:p>
    <w:p>
      <w:pPr>
        <w:pStyle w:val="FirstParagraph"/>
      </w:pPr>
      <w:r>
        <w:t xml:space="preserve">Sobre las series mensuales combinadas Landsat 8 + Sentinel-2 (929 observaciones) se aplica el algoritmo</w:t>
      </w:r>
      <w:r>
        <w:t xml:space="preserve"> </w:t>
      </w:r>
      <w:r>
        <w:rPr>
          <w:rStyle w:val="VerbatimChar"/>
        </w:rPr>
        <w:t xml:space="preserve">bfast::bfast</w:t>
      </w:r>
      <w:r>
        <w:t xml:space="preserve"> </w:t>
      </w:r>
      <w:r>
        <w:t xml:space="preserve">con</w:t>
      </w:r>
      <w:r>
        <w:t xml:space="preserve"> </w:t>
      </w:r>
      <w:r>
        <w:rPr>
          <w:rStyle w:val="VerbatimChar"/>
        </w:rPr>
        <w:t xml:space="preserve">h = 0,10</w:t>
      </w:r>
      <w:r>
        <w:t xml:space="preserve"> </w:t>
      </w:r>
      <w:r>
        <w:t xml:space="preserve">y descomposición armónica en dos iteraciones, lo que arroja los quiebres asociados a El Niño 2015–2016, La Niña 2020–2021 y El Niño 2023–2024.</w:t>
      </w:r>
    </w:p>
    <w:p>
      <w:pPr>
        <w:pStyle w:val="SourceCode"/>
      </w:pPr>
      <w:r>
        <w:rPr>
          <w:rStyle w:val="FunctionTok"/>
        </w:rPr>
        <w:t xml:space="preserve">library</w:t>
      </w:r>
      <w:r>
        <w:rPr>
          <w:rStyle w:val="NormalTok"/>
        </w:rPr>
        <w:t xml:space="preserve">(bfast)</w:t>
      </w:r>
      <w:r>
        <w:br/>
      </w:r>
      <w:r>
        <w:rPr>
          <w:rStyle w:val="NormalTok"/>
        </w:rPr>
        <w:t xml:space="preserve">serie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"outputs/tables/serie_temporal_ndvi_combinada.csv"</w:t>
      </w:r>
      <w:r>
        <w:rPr>
          <w:rStyle w:val="NormalTok"/>
        </w:rPr>
        <w:t xml:space="preserve">)</w:t>
      </w:r>
      <w:r>
        <w:br/>
      </w:r>
      <w:r>
        <w:rPr>
          <w:rStyle w:val="NormalTok"/>
        </w:rPr>
        <w:t xml:space="preserve">ts_est </w:t>
      </w:r>
      <w:r>
        <w:rPr>
          <w:rStyle w:val="OtherTok"/>
        </w:rPr>
        <w:t xml:space="preserve">&lt;-</w:t>
      </w:r>
      <w:r>
        <w:rPr>
          <w:rStyle w:val="NormalTok"/>
        </w:rPr>
        <w:t xml:space="preserve"> </w:t>
      </w:r>
      <w:r>
        <w:rPr>
          <w:rStyle w:val="FunctionTok"/>
        </w:rPr>
        <w:t xml:space="preserve">ts</w:t>
      </w:r>
      <w:r>
        <w:rPr>
          <w:rStyle w:val="NormalTok"/>
        </w:rPr>
        <w:t xml:space="preserve">(</w:t>
      </w:r>
      <w:r>
        <w:rPr>
          <w:rStyle w:val="FunctionTok"/>
        </w:rPr>
        <w:t xml:space="preserve">subset</w:t>
      </w:r>
      <w:r>
        <w:rPr>
          <w:rStyle w:val="NormalTok"/>
        </w:rPr>
        <w:t xml:space="preserve">(serie, estación </w:t>
      </w:r>
      <w:r>
        <w:rPr>
          <w:rStyle w:val="SpecialCharTok"/>
        </w:rPr>
        <w:t xml:space="preserve">==</w:t>
      </w:r>
      <w:r>
        <w:rPr>
          <w:rStyle w:val="NormalTok"/>
        </w:rPr>
        <w:t xml:space="preserve"> </w:t>
      </w:r>
      <w:r>
        <w:rPr>
          <w:rStyle w:val="StringTok"/>
        </w:rPr>
        <w:t xml:space="preserve">"Cano_Palos"</w:t>
      </w:r>
      <w:r>
        <w:rPr>
          <w:rStyle w:val="NormalTok"/>
        </w:rPr>
        <w:t xml:space="preserve">)</w:t>
      </w:r>
      <w:r>
        <w:rPr>
          <w:rStyle w:val="SpecialCharTok"/>
        </w:rPr>
        <w:t xml:space="preserve">$</w:t>
      </w:r>
      <w:r>
        <w:rPr>
          <w:rStyle w:val="NormalTok"/>
        </w:rPr>
        <w:t xml:space="preserve">ndvi,</w:t>
      </w:r>
      <w:r>
        <w:br/>
      </w:r>
      <w:r>
        <w:rPr>
          <w:rStyle w:val="NormalTok"/>
        </w:rPr>
        <w:t xml:space="preserve">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2013</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bfast</w:t>
      </w:r>
      <w:r>
        <w:rPr>
          <w:rStyle w:val="NormalTok"/>
        </w:rPr>
        <w:t xml:space="preserve">(ts_est, </w:t>
      </w:r>
      <w:r>
        <w:rPr>
          <w:rStyle w:val="AttributeTok"/>
        </w:rPr>
        <w:t xml:space="preserve">h =</w:t>
      </w:r>
      <w:r>
        <w:rPr>
          <w:rStyle w:val="NormalTok"/>
        </w:rPr>
        <w:t xml:space="preserve"> </w:t>
      </w:r>
      <w:r>
        <w:rPr>
          <w:rStyle w:val="FloatTok"/>
        </w:rPr>
        <w:t xml:space="preserve">0.10</w:t>
      </w:r>
      <w:r>
        <w:rPr>
          <w:rStyle w:val="NormalTok"/>
        </w:rPr>
        <w:t xml:space="preserve">, </w:t>
      </w:r>
      <w:r>
        <w:rPr>
          <w:rStyle w:val="AttributeTok"/>
        </w:rPr>
        <w:t xml:space="preserve">season =</w:t>
      </w:r>
      <w:r>
        <w:rPr>
          <w:rStyle w:val="NormalTok"/>
        </w:rPr>
        <w:t xml:space="preserve"> </w:t>
      </w:r>
      <w:r>
        <w:rPr>
          <w:rStyle w:val="StringTok"/>
        </w:rPr>
        <w:t xml:space="preserve">"harmonic"</w:t>
      </w:r>
      <w:r>
        <w:rPr>
          <w:rStyle w:val="NormalTok"/>
        </w:rPr>
        <w:t xml:space="preserve">, </w:t>
      </w:r>
      <w:r>
        <w:rPr>
          <w:rStyle w:val="AttributeTok"/>
        </w:rPr>
        <w:t xml:space="preserve">max.iter =</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(fit)   </w:t>
      </w:r>
      <w:r>
        <w:rPr>
          <w:rStyle w:val="CommentTok"/>
        </w:rPr>
        <w:t xml:space="preserve"># quiebres 2016 (El Nino), 2020 (La Nina), 2023-24 (El Nino)</w:t>
      </w:r>
    </w:p>
    <w:bookmarkEnd w:id="153"/>
    <w:bookmarkEnd w:id="154"/>
    <w:bookmarkStart w:id="157" w:name="X5564c560101fed8ef34ec75486d574edcd53951"/>
    <w:p>
      <w:pPr>
        <w:pStyle w:val="Heading2"/>
      </w:pPr>
      <w:r>
        <w:t xml:space="preserve">15.2 E.2 Reproyección al sistema oficial colombiano y topología DE-9IM</w:t>
      </w:r>
    </w:p>
    <w:bookmarkStart w:id="155" w:name="X31781a5437144d837b45bd64f1f50d5cfbe2b9e"/>
    <w:p>
      <w:pPr>
        <w:pStyle w:val="Heading3"/>
      </w:pPr>
      <w:r>
        <w:t xml:space="preserve">15.2.1 E.2.a Lectura perezosa del raster, reproyección a EPSG:9377 y predicados topológicos</w:t>
      </w:r>
    </w:p>
    <w:p>
      <w:pPr>
        <w:pStyle w:val="FirstParagraph"/>
      </w:pPr>
      <w:r>
        <w:t xml:space="preserve">Los rasters de máscara producidos por SamGeo se inspeccionan abriendo el archivo con</w:t>
      </w:r>
      <w:r>
        <w:t xml:space="preserve"> </w:t>
      </w:r>
      <w:r>
        <w:rPr>
          <w:rStyle w:val="VerbatimChar"/>
        </w:rPr>
        <w:t xml:space="preserve">rasterio.open()</w:t>
      </w:r>
      <w:r>
        <w:t xml:space="preserve"> </w:t>
      </w:r>
      <w: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t xml:space="preserve"> </w:t>
      </w:r>
      <w:r>
        <w:rPr>
          <w:rStyle w:val="VerbatimChar"/>
        </w:rPr>
        <w:t xml:space="preserve">intersects</w:t>
      </w:r>
      <w:r>
        <w:t xml:space="preserve"> </w:t>
      </w:r>
      <w:r>
        <w:t xml:space="preserve">con la frontera del AOI y</w:t>
      </w:r>
      <w:r>
        <w:t xml:space="preserve"> </w:t>
      </w:r>
      <w:r>
        <w:rPr>
          <w:rStyle w:val="VerbatimChar"/>
        </w:rPr>
        <w:t xml:space="preserve">contains</w:t>
      </w:r>
      <w:r>
        <w:t xml:space="preserve"> </w:t>
      </w:r>
      <w:r>
        <w:t xml:space="preserve">con los puntos de muestreo INVEMAR, en ambos casos delegando en GEOS los mismos cálculos que sustentan PostGIS y JTS.</w:t>
      </w:r>
    </w:p>
    <w:p>
      <w:pPr>
        <w:pStyle w:val="SourceCode"/>
      </w:pPr>
      <w:r>
        <w:rPr>
          <w:rStyle w:val="ImportTok"/>
        </w:rPr>
        <w:t xml:space="preserve">from</w:t>
      </w:r>
      <w:r>
        <w:rPr>
          <w:rStyle w:val="NormalTok"/>
        </w:rPr>
        <w:t xml:space="preserve"> src.python.utils </w:t>
      </w:r>
      <w:r>
        <w:rPr>
          <w:rStyle w:val="ImportTok"/>
        </w:rPr>
        <w:t xml:space="preserve">import</w:t>
      </w:r>
      <w:r>
        <w:rPr>
          <w:rStyle w:val="NormalTok"/>
        </w:rPr>
        <w:t xml:space="preserve"> (</w:t>
      </w:r>
      <w:r>
        <w:br/>
      </w:r>
      <w:r>
        <w:rPr>
          <w:rStyle w:val="NormalTok"/>
        </w:rPr>
        <w:t xml:space="preserve">    raster_metadata, vector_to_9377, area_ha_9377,</w:t>
      </w:r>
      <w:r>
        <w:br/>
      </w:r>
      <w:r>
        <w:rPr>
          <w:rStyle w:val="NormalTok"/>
        </w:rPr>
        <w:t xml:space="preserve">    parches_borde, parches_con_punto, EPSG_NACIONAL,</w:t>
      </w:r>
      <w:r>
        <w:br/>
      </w:r>
      <w:r>
        <w:rPr>
          <w:rStyle w:val="NormalTok"/>
        </w:rPr>
        <w:t xml:space="preserve">)</w:t>
      </w:r>
      <w:r>
        <w:br/>
      </w:r>
      <w:r>
        <w:br/>
      </w:r>
      <w:r>
        <w:rPr>
          <w:rStyle w:val="CommentTok"/>
        </w:rPr>
        <w:t xml:space="preserve"># Inspeccion lazy del raster: metadatos sin cargar la grilla</w:t>
      </w:r>
      <w:r>
        <w:br/>
      </w:r>
      <w:r>
        <w:rPr>
          <w:rStyle w:val="NormalTok"/>
        </w:rPr>
        <w:t xml:space="preserve">meta </w:t>
      </w:r>
      <w:r>
        <w:rPr>
          <w:rStyle w:val="OperatorTok"/>
        </w:rPr>
        <w:t xml:space="preserve">=</w:t>
      </w:r>
      <w:r>
        <w:rPr>
          <w:rStyle w:val="NormalTok"/>
        </w:rPr>
        <w:t xml:space="preserve"> raster_metadata(</w:t>
      </w:r>
      <w:r>
        <w:rPr>
          <w:rStyle w:val="StringTok"/>
        </w:rPr>
        <w:t xml:space="preserve">'data/processed/samgeo/mask_actual.tif'</w:t>
      </w:r>
      <w:r>
        <w:rPr>
          <w:rStyle w:val="NormalTok"/>
        </w:rPr>
        <w:t xml:space="preserve">)</w:t>
      </w:r>
      <w:r>
        <w:br/>
      </w:r>
      <w:r>
        <w:br/>
      </w:r>
      <w:r>
        <w:rPr>
          <w:rStyle w:val="CommentTok"/>
        </w:rPr>
        <w:t xml:space="preserve"># Reproyeccion al sistema oficial colombiano MAGNA-SIRGAS</w:t>
      </w:r>
      <w:r>
        <w:br/>
      </w:r>
      <w:r>
        <w:rPr>
          <w:rStyle w:val="NormalTok"/>
        </w:rPr>
        <w:t xml:space="preserve">vector_to_9377(</w:t>
      </w:r>
      <w:r>
        <w:rPr>
          <w:rStyle w:val="StringTok"/>
        </w:rPr>
        <w:t xml:space="preserve">'data/processed/samgeo/manglar_actual.geojson'</w:t>
      </w:r>
      <w:r>
        <w:rPr>
          <w:rStyle w:val="NormalTok"/>
        </w:rPr>
        <w:t xml:space="preserve">,</w:t>
      </w:r>
      <w:r>
        <w:br/>
      </w:r>
      <w:r>
        <w:rPr>
          <w:rStyle w:val="NormalTok"/>
        </w:rPr>
        <w:t xml:space="preserve">               </w:t>
      </w:r>
      <w:r>
        <w:rPr>
          <w:rStyle w:val="StringTok"/>
        </w:rPr>
        <w:t xml:space="preserve">'data/processed/samgeo/manglar_actual_9377.geojson'</w:t>
      </w:r>
      <w:r>
        <w:rPr>
          <w:rStyle w:val="NormalTok"/>
        </w:rPr>
        <w:t xml:space="preserve">)</w:t>
      </w:r>
      <w:r>
        <w:br/>
      </w:r>
      <w:r>
        <w:br/>
      </w:r>
      <w:r>
        <w:rPr>
          <w:rStyle w:val="CommentTok"/>
        </w:rPr>
        <w:t xml:space="preserve"># Predicados topológicos DE-9IM sobre los parches reproyectados</w:t>
      </w:r>
      <w:r>
        <w:br/>
      </w:r>
      <w:r>
        <w:rPr>
          <w:rStyle w:val="NormalTok"/>
        </w:rPr>
        <w:t xml:space="preserve">gdf </w:t>
      </w:r>
      <w:r>
        <w:rPr>
          <w:rStyle w:val="OperatorTok"/>
        </w:rPr>
        <w:t xml:space="preserve">=</w:t>
      </w:r>
      <w:r>
        <w:rPr>
          <w:rStyle w:val="NormalTok"/>
        </w:rPr>
        <w:t xml:space="preserve"> area_ha_9377(gpd.read_file(</w:t>
      </w:r>
      <w:r>
        <w:rPr>
          <w:rStyle w:val="StringTok"/>
        </w:rPr>
        <w:t xml:space="preserve">'data/processed/samgeo/manglar_actual_9377.geojson'</w:t>
      </w:r>
      <w:r>
        <w:rPr>
          <w:rStyle w:val="NormalTok"/>
        </w:rPr>
        <w:t xml:space="preserve">))</w:t>
      </w:r>
      <w:r>
        <w:br/>
      </w:r>
      <w:r>
        <w:rPr>
          <w:rStyle w:val="NormalTok"/>
        </w:rPr>
        <w:t xml:space="preserve">gdf </w:t>
      </w:r>
      <w:r>
        <w:rPr>
          <w:rStyle w:val="OperatorTok"/>
        </w:rPr>
        <w:t xml:space="preserve">=</w:t>
      </w:r>
      <w:r>
        <w:rPr>
          <w:rStyle w:val="NormalTok"/>
        </w:rPr>
        <w:t xml:space="preserve"> parches_borde(gdf, aoi)             </w:t>
      </w:r>
      <w:r>
        <w:rPr>
          <w:rStyle w:val="CommentTok"/>
        </w:rPr>
        <w:t xml:space="preserve"># intersects con la frontera</w:t>
      </w:r>
      <w:r>
        <w:br/>
      </w:r>
      <w:r>
        <w:rPr>
          <w:rStyle w:val="NormalTok"/>
        </w:rPr>
        <w:t xml:space="preserve">gdf </w:t>
      </w:r>
      <w:r>
        <w:rPr>
          <w:rStyle w:val="OperatorTok"/>
        </w:rPr>
        <w:t xml:space="preserve">=</w:t>
      </w:r>
      <w:r>
        <w:rPr>
          <w:rStyle w:val="NormalTok"/>
        </w:rPr>
        <w:t xml:space="preserve"> parches_con_punto(gdf, estaciones)  </w:t>
      </w:r>
      <w:r>
        <w:rPr>
          <w:rStyle w:val="CommentTok"/>
        </w:rPr>
        <w:t xml:space="preserve"># contains con los puntos INVEMAR</w:t>
      </w:r>
    </w:p>
    <w:bookmarkEnd w:id="155"/>
    <w:bookmarkStart w:id="156" w:name="X32380bf0a00da97b05b1c0f73201a606fb69033"/>
    <w:p>
      <w:pPr>
        <w:pStyle w:val="Heading3"/>
      </w:pPr>
      <w:r>
        <w:t xml:space="preserve">15.2.2 E.2.b Segmentación promptable con SamGeo vit_b y vectorización por periodo</w:t>
      </w:r>
    </w:p>
    <w:p>
      <w:pPr>
        <w:pStyle w:val="FirstParagraph"/>
      </w:pPr>
      <w: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rPr>
        <w:t xml:space="preserve">from</w:t>
      </w:r>
      <w:r>
        <w:rPr>
          <w:rStyle w:val="NormalTok"/>
        </w:rPr>
        <w:t xml:space="preserve"> samgeo </w:t>
      </w:r>
      <w:r>
        <w:rPr>
          <w:rStyle w:val="ImportTok"/>
        </w:rPr>
        <w:t xml:space="preserve">import</w:t>
      </w:r>
      <w:r>
        <w:rPr>
          <w:rStyle w:val="NormalTok"/>
        </w:rPr>
        <w:t xml:space="preserve"> SamGeo</w:t>
      </w:r>
      <w:r>
        <w:br/>
      </w:r>
      <w:r>
        <w:br/>
      </w:r>
      <w:r>
        <w:rPr>
          <w:rStyle w:val="CommentTok"/>
        </w:rPr>
        <w:t xml:space="preserve"># Modelo base vit_b para ajustarse a la RAM del contenedor</w:t>
      </w:r>
      <w:r>
        <w:br/>
      </w:r>
      <w:r>
        <w:rPr>
          <w:rStyle w:val="NormalTok"/>
        </w:rPr>
        <w:t xml:space="preserve">sam </w:t>
      </w:r>
      <w:r>
        <w:rPr>
          <w:rStyle w:val="OperatorTok"/>
        </w:rPr>
        <w:t xml:space="preserve">=</w:t>
      </w:r>
      <w:r>
        <w:rPr>
          <w:rStyle w:val="NormalTok"/>
        </w:rPr>
        <w:t xml:space="preserve"> SamGeo(model_type</w:t>
      </w:r>
      <w:r>
        <w:rPr>
          <w:rStyle w:val="OperatorTok"/>
        </w:rPr>
        <w:t xml:space="preserve">=</w:t>
      </w:r>
      <w:r>
        <w:rPr>
          <w:rStyle w:val="StringTok"/>
        </w:rPr>
        <w:t xml:space="preserve">'vit_b'</w:t>
      </w:r>
      <w:r>
        <w:rPr>
          <w:rStyle w:val="NormalTok"/>
        </w:rPr>
        <w:t xml:space="preserve">, automátic</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periodo </w:t>
      </w:r>
      <w:r>
        <w:rPr>
          <w:rStyle w:val="KeywordTok"/>
        </w:rPr>
        <w:t xml:space="preserve">in</w:t>
      </w:r>
      <w:r>
        <w:rPr>
          <w:rStyle w:val="NormalTok"/>
        </w:rPr>
        <w:t xml:space="preserve"> [</w:t>
      </w:r>
      <w:r>
        <w:rPr>
          <w:rStyle w:val="StringTok"/>
        </w:rPr>
        <w:t xml:space="preserve">'degradación'</w:t>
      </w:r>
      <w:r>
        <w:rPr>
          <w:rStyle w:val="NormalTok"/>
        </w:rPr>
        <w:t xml:space="preserve">, </w:t>
      </w:r>
      <w:r>
        <w:rPr>
          <w:rStyle w:val="StringTok"/>
        </w:rPr>
        <w:t xml:space="preserve">'recuperación'</w:t>
      </w:r>
      <w:r>
        <w:rPr>
          <w:rStyle w:val="NormalTok"/>
        </w:rPr>
        <w:t xml:space="preserve">, </w:t>
      </w:r>
      <w:r>
        <w:rPr>
          <w:rStyle w:val="StringTok"/>
        </w:rPr>
        <w:t xml:space="preserve">'actual'</w:t>
      </w:r>
      <w:r>
        <w:rPr>
          <w:rStyle w:val="NormalTok"/>
        </w:rPr>
        <w:t xml:space="preserve">]:</w:t>
      </w:r>
      <w:r>
        <w:br/>
      </w:r>
      <w:r>
        <w:rPr>
          <w:rStyle w:val="NormalTok"/>
        </w:rPr>
        <w:t xml:space="preserve">    rgb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res_dir</w:t>
      </w:r>
      <w:r>
        <w:rPr>
          <w:rStyle w:val="SpecialCharTok"/>
        </w:rPr>
        <w:t xml:space="preserve">}</w:t>
      </w:r>
      <w:r>
        <w:rPr>
          <w:rStyle w:val="SpecialStringTok"/>
        </w:rPr>
        <w:t xml:space="preserve">/CGSM_RGB_</w:t>
      </w:r>
      <w:r>
        <w:rPr>
          <w:rStyle w:val="SpecialCharTok"/>
        </w:rPr>
        <w:t xml:space="preserve">{</w:t>
      </w:r>
      <w:r>
        <w:rPr>
          <w:rStyle w:val="NormalTok"/>
        </w:rPr>
        <w:t xml:space="preserve">periodo</w:t>
      </w:r>
      <w:r>
        <w:rPr>
          <w:rStyle w:val="SpecialCharTok"/>
        </w:rPr>
        <w:t xml:space="preserve">}</w:t>
      </w:r>
      <w:r>
        <w:rPr>
          <w:rStyle w:val="SpecialStringTok"/>
        </w:rPr>
        <w:t xml:space="preserve">_30m.tif'</w:t>
      </w:r>
      <w:r>
        <w:br/>
      </w:r>
      <w:r>
        <w:rPr>
          <w:rStyle w:val="NormalTok"/>
        </w:rPr>
        <w:t xml:space="preserve">    mask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out_dir</w:t>
      </w:r>
      <w:r>
        <w:rPr>
          <w:rStyle w:val="SpecialCharTok"/>
        </w:rPr>
        <w:t xml:space="preserve">}</w:t>
      </w:r>
      <w:r>
        <w:rPr>
          <w:rStyle w:val="SpecialStringTok"/>
        </w:rPr>
        <w:t xml:space="preserve">/mask_</w:t>
      </w:r>
      <w:r>
        <w:rPr>
          <w:rStyle w:val="SpecialCharTok"/>
        </w:rPr>
        <w:t xml:space="preserve">{</w:t>
      </w:r>
      <w:r>
        <w:rPr>
          <w:rStyle w:val="NormalTok"/>
        </w:rPr>
        <w:t xml:space="preserve">periodo</w:t>
      </w:r>
      <w:r>
        <w:rPr>
          <w:rStyle w:val="SpecialCharTok"/>
        </w:rPr>
        <w:t xml:space="preserve">}</w:t>
      </w:r>
      <w:r>
        <w:rPr>
          <w:rStyle w:val="SpecialStringTok"/>
        </w:rPr>
        <w:t xml:space="preserve">.tif'</w:t>
      </w:r>
      <w:r>
        <w:br/>
      </w:r>
      <w:r>
        <w:rPr>
          <w:rStyle w:val="NormalTok"/>
        </w:rPr>
        <w:t xml:space="preserve">    poly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out_dir</w:t>
      </w:r>
      <w:r>
        <w:rPr>
          <w:rStyle w:val="SpecialCharTok"/>
        </w:rPr>
        <w:t xml:space="preserve">}</w:t>
      </w:r>
      <w:r>
        <w:rPr>
          <w:rStyle w:val="SpecialStringTok"/>
        </w:rPr>
        <w:t xml:space="preserve">/manglar_</w:t>
      </w:r>
      <w:r>
        <w:rPr>
          <w:rStyle w:val="SpecialCharTok"/>
        </w:rPr>
        <w:t xml:space="preserve">{</w:t>
      </w:r>
      <w:r>
        <w:rPr>
          <w:rStyle w:val="NormalTok"/>
        </w:rPr>
        <w:t xml:space="preserve">periodo</w:t>
      </w:r>
      <w:r>
        <w:rPr>
          <w:rStyle w:val="SpecialCharTok"/>
        </w:rPr>
        <w:t xml:space="preserve">}</w:t>
      </w:r>
      <w:r>
        <w:rPr>
          <w:rStyle w:val="SpecialStringTok"/>
        </w:rPr>
        <w:t xml:space="preserve">.geojson'</w:t>
      </w:r>
      <w:r>
        <w:br/>
      </w:r>
      <w:r>
        <w:rPr>
          <w:rStyle w:val="NormalTok"/>
        </w:rPr>
        <w:t xml:space="preserve">    sam.generate(rgb, output</w:t>
      </w:r>
      <w:r>
        <w:rPr>
          <w:rStyle w:val="OperatorTok"/>
        </w:rPr>
        <w:t xml:space="preserve">=</w:t>
      </w:r>
      <w:r>
        <w:rPr>
          <w:rStyle w:val="NormalTok"/>
        </w:rPr>
        <w:t xml:space="preserve">mask)        </w:t>
      </w:r>
      <w:r>
        <w:rPr>
          <w:rStyle w:val="CommentTok"/>
        </w:rPr>
        <w:t xml:space="preserve"># raster binario</w:t>
      </w:r>
      <w:r>
        <w:br/>
      </w:r>
      <w:r>
        <w:rPr>
          <w:rStyle w:val="NormalTok"/>
        </w:rPr>
        <w:t xml:space="preserve">    sam.tiff_to_vector(mask, poly)        </w:t>
      </w:r>
      <w:r>
        <w:rPr>
          <w:rStyle w:val="CommentTok"/>
        </w:rPr>
        <w:t xml:space="preserve"># parches vectoriales</w:t>
      </w:r>
    </w:p>
    <w:bookmarkEnd w:id="156"/>
    <w:bookmarkEnd w:id="157"/>
    <w:bookmarkStart w:id="160" w:name="Xbcff38372e88ef926b7df2bfb1aae6dce9089dc"/>
    <w:p>
      <w:pPr>
        <w:pStyle w:val="Heading2"/>
      </w:pPr>
      <w:r>
        <w:t xml:space="preserve">15.3 E.3 Forzamiento climático y detección SAR</w:t>
      </w:r>
    </w:p>
    <w:bookmarkStart w:id="158" w:name="X37cf50bdef44f339f5979a117beec730177981e"/>
    <w:p>
      <w:pPr>
        <w:pStyle w:val="Heading3"/>
      </w:pPr>
      <w:r>
        <w:t xml:space="preserve">15.3.1 E.3.a Descarga ERA5-Land mediante cdsapi y cálculo de anomalías mensuales</w:t>
      </w:r>
    </w:p>
    <w:p>
      <w:pPr>
        <w:pStyle w:val="FirstParagraph"/>
      </w:pPr>
      <w:r>
        <w:t xml:space="preserve">La descarga del reanálisis ERA5-Land del ECMWF se realiza con</w:t>
      </w:r>
      <w:r>
        <w:t xml:space="preserve"> </w:t>
      </w:r>
      <w:r>
        <w:rPr>
          <w:rStyle w:val="VerbatimChar"/>
        </w:rPr>
        <w:t xml:space="preserve">cdsapi</w:t>
      </w:r>
      <w:r>
        <w:t xml:space="preserve"> </w:t>
      </w:r>
      <w:r>
        <w:t xml:space="preserve">directamente desde el Climate Data Store, solicitando precipitación total y temperatura a dos metros sobre un bounding box que envuelve la CGSM con buffer; los datos se reciben en NetCDF con convenciones CF y se cargan con</w:t>
      </w:r>
      <w:r>
        <w:t xml:space="preserve"> </w:t>
      </w:r>
      <w:r>
        <w:rPr>
          <w:rStyle w:val="VerbatimChar"/>
        </w:rPr>
        <w:t xml:space="preserve">xarray.open_dataset(chunks=...)</w:t>
      </w:r>
      <w:r>
        <w:t xml:space="preserve"> </w:t>
      </w:r>
      <w:r>
        <w:t xml:space="preserve">aplicando un patrón perezoso, calculando la climatología mensual y la anomalía respecto a ella para los rezagos cero a tres meses.</w:t>
      </w:r>
    </w:p>
    <w:p>
      <w:pPr>
        <w:pStyle w:val="SourceCode"/>
      </w:pPr>
      <w:r>
        <w:rPr>
          <w:rStyle w:val="ImportTok"/>
        </w:rPr>
        <w:t xml:space="preserve">import</w:t>
      </w:r>
      <w:r>
        <w:rPr>
          <w:rStyle w:val="NormalTok"/>
        </w:rPr>
        <w:t xml:space="preserve"> cdsapi, xarray </w:t>
      </w:r>
      <w:r>
        <w:rPr>
          <w:rStyle w:val="ImportTok"/>
        </w:rPr>
        <w:t xml:space="preserve">as</w:t>
      </w:r>
      <w:r>
        <w:rPr>
          <w:rStyle w:val="NormalTok"/>
        </w:rPr>
        <w:t xml:space="preserve"> xr</w:t>
      </w:r>
      <w:r>
        <w:br/>
      </w:r>
      <w:r>
        <w:rPr>
          <w:rStyle w:val="NormalTok"/>
        </w:rPr>
        <w:t xml:space="preserve">c </w:t>
      </w:r>
      <w:r>
        <w:rPr>
          <w:rStyle w:val="OperatorTok"/>
        </w:rPr>
        <w:t xml:space="preserve">=</w:t>
      </w:r>
      <w:r>
        <w:rPr>
          <w:rStyle w:val="NormalTok"/>
        </w:rPr>
        <w:t xml:space="preserve"> cdsapi.Client()</w:t>
      </w:r>
      <w:r>
        <w:br/>
      </w:r>
      <w:r>
        <w:rPr>
          <w:rStyle w:val="NormalTok"/>
        </w:rPr>
        <w:t xml:space="preserve">c.retrieve(</w:t>
      </w:r>
      <w:r>
        <w:rPr>
          <w:rStyle w:val="StringTok"/>
        </w:rPr>
        <w:t xml:space="preserve">'reanalysis-era5-land-monthly-means'</w:t>
      </w:r>
      <w:r>
        <w:rPr>
          <w:rStyle w:val="NormalTok"/>
        </w:rPr>
        <w:t xml:space="preserve">, {</w:t>
      </w:r>
      <w:r>
        <w:br/>
      </w:r>
      <w:r>
        <w:rPr>
          <w:rStyle w:val="NormalTok"/>
        </w:rPr>
        <w:t xml:space="preserve">    </w:t>
      </w:r>
      <w:r>
        <w:rPr>
          <w:rStyle w:val="StringTok"/>
        </w:rPr>
        <w:t xml:space="preserve">'product_type'</w:t>
      </w:r>
      <w:r>
        <w:rPr>
          <w:rStyle w:val="NormalTok"/>
        </w:rPr>
        <w:t xml:space="preserve">: </w:t>
      </w:r>
      <w:r>
        <w:rPr>
          <w:rStyle w:val="StringTok"/>
        </w:rPr>
        <w:t xml:space="preserve">'monthly_averaged_reanalysis'</w:t>
      </w:r>
      <w:r>
        <w:rPr>
          <w:rStyle w:val="NormalTok"/>
        </w:rPr>
        <w:t xml:space="preserve">,</w:t>
      </w:r>
      <w:r>
        <w:br/>
      </w:r>
      <w:r>
        <w:rPr>
          <w:rStyle w:val="NormalTok"/>
        </w:rPr>
        <w:t xml:space="preserve">    </w:t>
      </w:r>
      <w:r>
        <w:rPr>
          <w:rStyle w:val="StringTok"/>
        </w:rPr>
        <w:t xml:space="preserve">'variable'</w:t>
      </w:r>
      <w:r>
        <w:rPr>
          <w:rStyle w:val="NormalTok"/>
        </w:rPr>
        <w:t xml:space="preserve">: [</w:t>
      </w:r>
      <w:r>
        <w:rPr>
          <w:rStyle w:val="StringTok"/>
        </w:rPr>
        <w:t xml:space="preserve">'total_precipitation'</w:t>
      </w:r>
      <w:r>
        <w:rPr>
          <w:rStyle w:val="NormalTok"/>
        </w:rPr>
        <w:t xml:space="preserve">, </w:t>
      </w:r>
      <w:r>
        <w:rPr>
          <w:rStyle w:val="StringTok"/>
        </w:rPr>
        <w:t xml:space="preserve">'2m_temperature'</w:t>
      </w:r>
      <w:r>
        <w:rPr>
          <w:rStyle w:val="NormalTok"/>
        </w:rPr>
        <w:t xml:space="preserve">],</w:t>
      </w:r>
      <w:r>
        <w:br/>
      </w:r>
      <w:r>
        <w:rPr>
          <w:rStyle w:val="NormalTok"/>
        </w:rPr>
        <w:t xml:space="preserve">    </w:t>
      </w:r>
      <w:r>
        <w:rPr>
          <w:rStyle w:val="StringTok"/>
        </w:rPr>
        <w:t xml:space="preserve">'year'</w:t>
      </w:r>
      <w:r>
        <w:rPr>
          <w:rStyle w:val="NormalTok"/>
        </w:rPr>
        <w:t xml:space="preserve">: [</w:t>
      </w:r>
      <w:r>
        <w:rPr>
          <w:rStyle w:val="BuiltInTok"/>
        </w:rPr>
        <w:t xml:space="preserve">str</w:t>
      </w:r>
      <w:r>
        <w:rPr>
          <w:rStyle w:val="NormalTok"/>
        </w:rPr>
        <w:t xml:space="preserve">(y)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2018</w:t>
      </w:r>
      <w:r>
        <w:rPr>
          <w:rStyle w:val="NormalTok"/>
        </w:rPr>
        <w:t xml:space="preserve">, </w:t>
      </w:r>
      <w:r>
        <w:rPr>
          <w:rStyle w:val="DecValTok"/>
        </w:rPr>
        <w:t xml:space="preserve">2026</w:t>
      </w:r>
      <w:r>
        <w:rPr>
          <w:rStyle w:val="NormalTok"/>
        </w:rPr>
        <w:t xml:space="preserve">)],</w:t>
      </w:r>
      <w:r>
        <w:br/>
      </w:r>
      <w:r>
        <w:rPr>
          <w:rStyle w:val="NormalTok"/>
        </w:rPr>
        <w:t xml:space="preserve">    </w:t>
      </w:r>
      <w:r>
        <w:rPr>
          <w:rStyle w:val="StringTok"/>
        </w:rPr>
        <w:t xml:space="preserve">'month'</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StringTok"/>
        </w:rPr>
        <w:t xml:space="preserve">'00:00'</w:t>
      </w:r>
      <w:r>
        <w:rPr>
          <w:rStyle w:val="NormalTok"/>
        </w:rPr>
        <w:t xml:space="preserve">, </w:t>
      </w:r>
      <w:r>
        <w:rPr>
          <w:rStyle w:val="StringTok"/>
        </w:rPr>
        <w:t xml:space="preserve">'area'</w:t>
      </w:r>
      <w:r>
        <w:rPr>
          <w:rStyle w:val="NormalTok"/>
        </w:rPr>
        <w:t xml:space="preserve">: [</w:t>
      </w:r>
      <w:r>
        <w:rPr>
          <w:rStyle w:val="FloatTok"/>
        </w:rPr>
        <w:t xml:space="preserve">11.20</w:t>
      </w:r>
      <w:r>
        <w:rPr>
          <w:rStyle w:val="NormalTok"/>
        </w:rPr>
        <w:t xml:space="preserve">, </w:t>
      </w:r>
      <w:r>
        <w:rPr>
          <w:rStyle w:val="OperatorTok"/>
        </w:rPr>
        <w:t xml:space="preserve">-</w:t>
      </w:r>
      <w:r>
        <w:rPr>
          <w:rStyle w:val="FloatTok"/>
        </w:rPr>
        <w:t xml:space="preserve">75.05</w:t>
      </w:r>
      <w:r>
        <w:rPr>
          <w:rStyle w:val="NormalTok"/>
        </w:rPr>
        <w:t xml:space="preserve">, </w:t>
      </w:r>
      <w:r>
        <w:rPr>
          <w:rStyle w:val="FloatTok"/>
        </w:rPr>
        <w:t xml:space="preserve">10.30</w:t>
      </w:r>
      <w:r>
        <w:rPr>
          <w:rStyle w:val="NormalTok"/>
        </w:rPr>
        <w:t xml:space="preserve">, </w:t>
      </w:r>
      <w:r>
        <w:rPr>
          <w:rStyle w:val="OperatorTok"/>
        </w:rPr>
        <w:t xml:space="preserve">-</w:t>
      </w:r>
      <w:r>
        <w:rPr>
          <w:rStyle w:val="FloatTok"/>
        </w:rPr>
        <w:t xml:space="preserve">74.05</w:t>
      </w:r>
      <w:r>
        <w:rPr>
          <w:rStyle w:val="NormalTok"/>
        </w:rPr>
        <w:t xml:space="preserve">],</w:t>
      </w:r>
      <w:r>
        <w:br/>
      </w:r>
      <w:r>
        <w:rPr>
          <w:rStyle w:val="NormalTok"/>
        </w:rPr>
        <w:t xml:space="preserve">    </w:t>
      </w:r>
      <w:r>
        <w:rPr>
          <w:rStyle w:val="StringTok"/>
        </w:rPr>
        <w:t xml:space="preserve">'format'</w:t>
      </w:r>
      <w:r>
        <w:rPr>
          <w:rStyle w:val="NormalTok"/>
        </w:rPr>
        <w:t xml:space="preserve">: </w:t>
      </w:r>
      <w:r>
        <w:rPr>
          <w:rStyle w:val="StringTok"/>
        </w:rPr>
        <w:t xml:space="preserve">'netcdf'</w:t>
      </w:r>
      <w:r>
        <w:rPr>
          <w:rStyle w:val="NormalTok"/>
        </w:rPr>
        <w:t xml:space="preserve">}, </w:t>
      </w:r>
      <w:r>
        <w:rPr>
          <w:rStyle w:val="StringTok"/>
        </w:rPr>
        <w:t xml:space="preserve">'data/raw/era5_land_cgsm_monthly.nc'</w:t>
      </w:r>
      <w:r>
        <w:rPr>
          <w:rStyle w:val="NormalTok"/>
        </w:rPr>
        <w:t xml:space="preserve">)</w:t>
      </w:r>
      <w:r>
        <w:br/>
      </w:r>
      <w:r>
        <w:rPr>
          <w:rStyle w:val="NormalTok"/>
        </w:rPr>
        <w:t xml:space="preserve">ds </w:t>
      </w:r>
      <w:r>
        <w:rPr>
          <w:rStyle w:val="OperatorTok"/>
        </w:rPr>
        <w:t xml:space="preserve">=</w:t>
      </w:r>
      <w:r>
        <w:rPr>
          <w:rStyle w:val="NormalTok"/>
        </w:rPr>
        <w:t xml:space="preserve"> xr.open_dataset(</w:t>
      </w:r>
      <w:r>
        <w:rPr>
          <w:rStyle w:val="StringTok"/>
        </w:rPr>
        <w:t xml:space="preserve">'data/raw/era5_land_cgsm_monthly.nc'</w:t>
      </w:r>
      <w:r>
        <w:rPr>
          <w:rStyle w:val="NormalTok"/>
        </w:rPr>
        <w:t xml:space="preserve">, chunks</w:t>
      </w:r>
      <w:r>
        <w:rPr>
          <w:rStyle w:val="OperatorTok"/>
        </w:rPr>
        <w:t xml:space="preserve">=</w:t>
      </w:r>
      <w:r>
        <w:rPr>
          <w:rStyle w:val="NormalTok"/>
        </w:rPr>
        <w:t xml:space="preserve">{</w:t>
      </w:r>
      <w:r>
        <w:rPr>
          <w:rStyle w:val="StringTok"/>
        </w:rPr>
        <w:t xml:space="preserve">'time'</w:t>
      </w:r>
      <w:r>
        <w:rPr>
          <w:rStyle w:val="NormalTok"/>
        </w:rPr>
        <w:t xml:space="preserve">: </w:t>
      </w:r>
      <w:r>
        <w:rPr>
          <w:rStyle w:val="DecValTok"/>
        </w:rPr>
        <w:t xml:space="preserve">12</w:t>
      </w:r>
      <w:r>
        <w:rPr>
          <w:rStyle w:val="NormalTok"/>
        </w:rPr>
        <w:t xml:space="preserve">})</w:t>
      </w:r>
      <w:r>
        <w:br/>
      </w:r>
      <w:r>
        <w:rPr>
          <w:rStyle w:val="NormalTok"/>
        </w:rPr>
        <w:t xml:space="preserve">anom </w:t>
      </w:r>
      <w:r>
        <w:rPr>
          <w:rStyle w:val="OperatorTok"/>
        </w:rPr>
        <w:t xml:space="preserve">=</w:t>
      </w:r>
      <w:r>
        <w:rPr>
          <w:rStyle w:val="NormalTok"/>
        </w:rPr>
        <w:t xml:space="preserve"> ds.groupby(</w:t>
      </w:r>
      <w:r>
        <w:rPr>
          <w:rStyle w:val="StringTok"/>
        </w:rPr>
        <w:t xml:space="preserve">'time.month'</w:t>
      </w:r>
      <w:r>
        <w:rPr>
          <w:rStyle w:val="NormalTok"/>
        </w:rPr>
        <w:t xml:space="preserve">) </w:t>
      </w:r>
      <w:r>
        <w:rPr>
          <w:rStyle w:val="OperatorTok"/>
        </w:rPr>
        <w:t xml:space="preserve">-</w:t>
      </w:r>
      <w:r>
        <w:rPr>
          <w:rStyle w:val="NormalTok"/>
        </w:rPr>
        <w:t xml:space="preserve"> ds.groupby(</w:t>
      </w:r>
      <w:r>
        <w:rPr>
          <w:rStyle w:val="StringTok"/>
        </w:rPr>
        <w:t xml:space="preserve">'time.month'</w:t>
      </w:r>
      <w:r>
        <w:rPr>
          <w:rStyle w:val="NormalTok"/>
        </w:rPr>
        <w:t xml:space="preserve">).mean(</w:t>
      </w:r>
      <w:r>
        <w:rPr>
          <w:rStyle w:val="StringTok"/>
        </w:rPr>
        <w:t xml:space="preserve">'time'</w:t>
      </w:r>
      <w:r>
        <w:rPr>
          <w:rStyle w:val="NormalTok"/>
        </w:rPr>
        <w:t xml:space="preserve">)</w:t>
      </w:r>
    </w:p>
    <w:bookmarkEnd w:id="158"/>
    <w:bookmarkStart w:id="159" w:name="Xc17b12397ade9500b7e4fa0f94b6ad907d732c1"/>
    <w:p>
      <w:pPr>
        <w:pStyle w:val="Heading3"/>
      </w:pPr>
      <w:r>
        <w:t xml:space="preserve">15.3.2 E.3.b Detección de inundación Sentinel-1 SAR para el evento de septiembre 2020</w:t>
      </w:r>
    </w:p>
    <w:p>
      <w:pPr>
        <w:pStyle w:val="FirstParagraph"/>
      </w:pPr>
      <w: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el scattering de doble rebote característico de la interacción agua–tronco—.</w:t>
      </w:r>
    </w:p>
    <w:p>
      <w:pPr>
        <w:pStyle w:val="SourceCode"/>
      </w:pPr>
      <w:r>
        <w:rPr>
          <w:rStyle w:val="NormalTok"/>
        </w:rPr>
        <w:t xml:space="preserve">s1_dry </w:t>
      </w:r>
      <w:r>
        <w:rPr>
          <w:rStyle w:val="OperatorTok"/>
        </w:rPr>
        <w:t xml:space="preserve">=</w:t>
      </w:r>
      <w:r>
        <w:rPr>
          <w:rStyle w:val="NormalTok"/>
        </w:rPr>
        <w:t xml:space="preserve"> ee.ImageCollection(</w:t>
      </w:r>
      <w:r>
        <w:rPr>
          <w:rStyle w:val="StringTok"/>
        </w:rPr>
        <w:t xml:space="preserve">'COPERNICUS/S1_GRD'</w:t>
      </w:r>
      <w:r>
        <w:rPr>
          <w:rStyle w:val="NormalTok"/>
        </w:rPr>
        <w:t xml:space="preserve">) </w:t>
      </w:r>
      <w:r>
        <w:rPr>
          <w:rStyle w:val="OperatorTok"/>
        </w:rPr>
        <w:t xml:space="preserve">\</w:t>
      </w:r>
      <w:r>
        <w:br/>
      </w:r>
      <w:r>
        <w:rPr>
          <w:rStyle w:val="NormalTok"/>
        </w:rPr>
        <w:t xml:space="preserve">    .filterDate(</w:t>
      </w:r>
      <w:r>
        <w:rPr>
          <w:rStyle w:val="StringTok"/>
        </w:rPr>
        <w:t xml:space="preserve">'2020-01-01'</w:t>
      </w:r>
      <w:r>
        <w:rPr>
          <w:rStyle w:val="NormalTok"/>
        </w:rPr>
        <w:t xml:space="preserve">,</w:t>
      </w:r>
      <w:r>
        <w:rPr>
          <w:rStyle w:val="StringTok"/>
        </w:rPr>
        <w:t xml:space="preserve">'2020-03-31'</w:t>
      </w:r>
      <w:r>
        <w:rPr>
          <w:rStyle w:val="NormalTok"/>
        </w:rPr>
        <w:t xml:space="preserve">).select(</w:t>
      </w:r>
      <w:r>
        <w:rPr>
          <w:rStyle w:val="StringTok"/>
        </w:rPr>
        <w:t xml:space="preserve">'VH'</w:t>
      </w:r>
      <w:r>
        <w:rPr>
          <w:rStyle w:val="NormalTok"/>
        </w:rPr>
        <w:t xml:space="preserve">).median()</w:t>
      </w:r>
      <w:r>
        <w:br/>
      </w:r>
      <w:r>
        <w:rPr>
          <w:rStyle w:val="NormalTok"/>
        </w:rPr>
        <w:t xml:space="preserve">s1_flood </w:t>
      </w:r>
      <w:r>
        <w:rPr>
          <w:rStyle w:val="OperatorTok"/>
        </w:rPr>
        <w:t xml:space="preserve">=</w:t>
      </w:r>
      <w:r>
        <w:rPr>
          <w:rStyle w:val="NormalTok"/>
        </w:rPr>
        <w:t xml:space="preserve"> ee.ImageCollection(</w:t>
      </w:r>
      <w:r>
        <w:rPr>
          <w:rStyle w:val="StringTok"/>
        </w:rPr>
        <w:t xml:space="preserve">'COPERNICUS/S1_GRD'</w:t>
      </w:r>
      <w:r>
        <w:rPr>
          <w:rStyle w:val="NormalTok"/>
        </w:rPr>
        <w:t xml:space="preserve">) </w:t>
      </w:r>
      <w:r>
        <w:rPr>
          <w:rStyle w:val="OperatorTok"/>
        </w:rPr>
        <w:t xml:space="preserve">\</w:t>
      </w:r>
      <w:r>
        <w:br/>
      </w:r>
      <w:r>
        <w:rPr>
          <w:rStyle w:val="NormalTok"/>
        </w:rPr>
        <w:t xml:space="preserve">    .filterDate(</w:t>
      </w:r>
      <w:r>
        <w:rPr>
          <w:rStyle w:val="StringTok"/>
        </w:rPr>
        <w:t xml:space="preserve">'2020-09-01'</w:t>
      </w:r>
      <w:r>
        <w:rPr>
          <w:rStyle w:val="NormalTok"/>
        </w:rPr>
        <w:t xml:space="preserve">,</w:t>
      </w:r>
      <w:r>
        <w:rPr>
          <w:rStyle w:val="StringTok"/>
        </w:rPr>
        <w:t xml:space="preserve">'2020-10-31'</w:t>
      </w:r>
      <w:r>
        <w:rPr>
          <w:rStyle w:val="NormalTok"/>
        </w:rPr>
        <w:t xml:space="preserve">).select(</w:t>
      </w:r>
      <w:r>
        <w:rPr>
          <w:rStyle w:val="StringTok"/>
        </w:rPr>
        <w:t xml:space="preserve">'VH'</w:t>
      </w:r>
      <w:r>
        <w:rPr>
          <w:rStyle w:val="NormalTok"/>
        </w:rPr>
        <w:t xml:space="preserve">).median()</w:t>
      </w:r>
      <w:r>
        <w:br/>
      </w:r>
      <w:r>
        <w:rPr>
          <w:rStyle w:val="NormalTok"/>
        </w:rPr>
        <w:t xml:space="preserve">sar_diff </w:t>
      </w:r>
      <w:r>
        <w:rPr>
          <w:rStyle w:val="OperatorTok"/>
        </w:rPr>
        <w:t xml:space="preserve">=</w:t>
      </w:r>
      <w:r>
        <w:rPr>
          <w:rStyle w:val="NormalTok"/>
        </w:rPr>
        <w:t xml:space="preserve"> s1_dry.subtract(s1_flood)</w:t>
      </w:r>
      <w:r>
        <w:br/>
      </w:r>
      <w:r>
        <w:rPr>
          <w:rStyle w:val="NormalTok"/>
        </w:rPr>
        <w:t xml:space="preserve">flood_open </w:t>
      </w:r>
      <w:r>
        <w:rPr>
          <w:rStyle w:val="OperatorTok"/>
        </w:rPr>
        <w:t xml:space="preserve">=</w:t>
      </w:r>
      <w:r>
        <w:rPr>
          <w:rStyle w:val="NormalTok"/>
        </w:rPr>
        <w:t xml:space="preserve"> sar_diff.gt(</w:t>
      </w:r>
      <w:r>
        <w:rPr>
          <w:rStyle w:val="DecValTok"/>
        </w:rPr>
        <w:t xml:space="preserve">3</w:t>
      </w:r>
      <w:r>
        <w:rPr>
          <w:rStyle w:val="NormalTok"/>
        </w:rPr>
        <w:t xml:space="preserve">).selfMask()    </w:t>
      </w:r>
      <w:r>
        <w:rPr>
          <w:rStyle w:val="CommentTok"/>
        </w:rPr>
        <w:t xml:space="preserve"># agua abierta</w:t>
      </w:r>
      <w:r>
        <w:br/>
      </w:r>
      <w:r>
        <w:rPr>
          <w:rStyle w:val="NormalTok"/>
        </w:rPr>
        <w:t xml:space="preserve">flood_canopy </w:t>
      </w:r>
      <w:r>
        <w:rPr>
          <w:rStyle w:val="OperatorTok"/>
        </w:rPr>
        <w:t xml:space="preserve">=</w:t>
      </w:r>
      <w:r>
        <w:rPr>
          <w:rStyle w:val="NormalTok"/>
        </w:rPr>
        <w:t xml:space="preserve"> sar_diff.lt(</w:t>
      </w:r>
      <w:r>
        <w:rPr>
          <w:rStyle w:val="OperatorTok"/>
        </w:rPr>
        <w:t xml:space="preserve">-</w:t>
      </w:r>
      <w:r>
        <w:rPr>
          <w:rStyle w:val="DecValTok"/>
        </w:rPr>
        <w:t xml:space="preserve">2</w:t>
      </w:r>
      <w:r>
        <w:rPr>
          <w:rStyle w:val="NormalTok"/>
        </w:rPr>
        <w:t xml:space="preserve">).selfMask() </w:t>
      </w:r>
      <w:r>
        <w:rPr>
          <w:rStyle w:val="CommentTok"/>
        </w:rPr>
        <w:t xml:space="preserve"># bajo dosel</w:t>
      </w:r>
    </w:p>
    <w:bookmarkEnd w:id="159"/>
    <w:bookmarkEnd w:id="160"/>
    <w:bookmarkStart w:id="162" w:name="X7977fb776ea495598938f87ab7173f02a1201d1"/>
    <w:p>
      <w:pPr>
        <w:pStyle w:val="Heading2"/>
      </w:pPr>
      <w:r>
        <w:t xml:space="preserve">15.4 E.4 Métricas de fragmentación del paisaje (Julia)</w:t>
      </w:r>
    </w:p>
    <w:bookmarkStart w:id="161" w:name="Xc49ea036c39efa007a57f8633c5578fa66ce2f4"/>
    <w:p>
      <w:pPr>
        <w:pStyle w:val="Heading3"/>
      </w:pPr>
      <w:r>
        <w:t xml:space="preserve">15.4.1 E.4.a Cálculo de área (shoelace), MSI y NND sobre parches en EPSG:9377</w:t>
      </w:r>
    </w:p>
    <w:p>
      <w:pPr>
        <w:pStyle w:val="FirstParagraph"/>
      </w:pPr>
      <w:r>
        <w:t xml:space="preserve">La función</w:t>
      </w:r>
      <w:r>
        <w:t xml:space="preserve"> </w:t>
      </w:r>
      <w:r>
        <w:rPr>
          <w:rStyle w:val="VerbatimChar"/>
        </w:rPr>
        <w:t xml:space="preserve">compute_metrics</w:t>
      </w:r>
      <w:r>
        <w:t xml:space="preserve"> </w:t>
      </w:r>
      <w: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t xml:space="preserve"> </w:t>
      </w:r>
      <w:r>
        <w:rPr>
          <w:rStyle w:val="VerbatimChar"/>
        </w:rPr>
        <w:t xml:space="preserve">DataFrame</w:t>
      </w:r>
      <w:r>
        <w:t xml:space="preserve"> </w:t>
      </w:r>
      <w: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rPr>
        <w:t xml:space="preserve">using</w:t>
      </w:r>
      <w:r>
        <w:rPr>
          <w:rStyle w:val="NormalTok"/>
        </w:rPr>
        <w:t xml:space="preserve"> </w:t>
      </w:r>
      <w:r>
        <w:rPr>
          <w:rStyle w:val="BuiltInTok"/>
        </w:rPr>
        <w:t xml:space="preserve">GeoJSON</w:t>
      </w:r>
      <w:r>
        <w:rPr>
          <w:rStyle w:val="NormalTok"/>
        </w:rPr>
        <w:t xml:space="preserve">, </w:t>
      </w:r>
      <w:r>
        <w:rPr>
          <w:rStyle w:val="BuiltInTok"/>
        </w:rPr>
        <w:t xml:space="preserve">DataFrames</w:t>
      </w:r>
      <w:r>
        <w:rPr>
          <w:rStyle w:val="NormalTok"/>
        </w:rPr>
        <w:t xml:space="preserve">, </w:t>
      </w:r>
      <w:r>
        <w:rPr>
          <w:rStyle w:val="BuiltInTok"/>
        </w:rPr>
        <w:t xml:space="preserve">Statistics</w:t>
      </w:r>
      <w:r>
        <w:br/>
      </w:r>
      <w:r>
        <w:br/>
      </w:r>
      <w:r>
        <w:rPr>
          <w:rStyle w:val="KeywordTok"/>
        </w:rPr>
        <w:t xml:space="preserve">function</w:t>
      </w:r>
      <w:r>
        <w:rPr>
          <w:rStyle w:val="NormalTok"/>
        </w:rPr>
        <w:t xml:space="preserve"> </w:t>
      </w:r>
      <w:r>
        <w:rPr>
          <w:rStyle w:val="FunctionTok"/>
        </w:rPr>
        <w:t xml:space="preserve">compute_metrics</w:t>
      </w:r>
      <w:r>
        <w:rPr>
          <w:rStyle w:val="NormalTok"/>
        </w:rPr>
        <w:t xml:space="preserve">(periodo, base_dir)</w:t>
      </w:r>
      <w:r>
        <w:br/>
      </w:r>
      <w:r>
        <w:rPr>
          <w:rStyle w:val="NormalTok"/>
        </w:rPr>
        <w:t xml:space="preserve">    path </w:t>
      </w:r>
      <w:r>
        <w:rPr>
          <w:rStyle w:val="OperatorTok"/>
        </w:rPr>
        <w:t xml:space="preserve">=</w:t>
      </w:r>
      <w:r>
        <w:rPr>
          <w:rStyle w:val="NormalTok"/>
        </w:rPr>
        <w:t xml:space="preserve"> </w:t>
      </w:r>
      <w:r>
        <w:rPr>
          <w:rStyle w:val="FunctionTok"/>
        </w:rPr>
        <w:t xml:space="preserve">joinpath</w:t>
      </w:r>
      <w:r>
        <w:rPr>
          <w:rStyle w:val="NormalTok"/>
        </w:rPr>
        <w:t xml:space="preserve">(base_dir, </w:t>
      </w:r>
      <w:r>
        <w:rPr>
          <w:rStyle w:val="StringTok"/>
        </w:rPr>
        <w:t xml:space="preserve">"manglar_</w:t>
      </w:r>
      <w:r>
        <w:rPr>
          <w:rStyle w:val="SpecialCharTok"/>
        </w:rPr>
        <w:t xml:space="preserve">$</w:t>
      </w:r>
      <w:r>
        <w:rPr>
          <w:rStyle w:val="NormalTok"/>
        </w:rPr>
        <w:t xml:space="preserve">(periodo)</w:t>
      </w:r>
      <w:r>
        <w:rPr>
          <w:rStyle w:val="StringTok"/>
        </w:rPr>
        <w:t xml:space="preserve">_9377.geojson"</w:t>
      </w:r>
      <w:r>
        <w:rPr>
          <w:rStyle w:val="NormalTok"/>
        </w:rPr>
        <w:t xml:space="preserve">)</w:t>
      </w:r>
      <w:r>
        <w:br/>
      </w:r>
      <w:r>
        <w:rPr>
          <w:rStyle w:val="NormalTok"/>
        </w:rPr>
        <w:t xml:space="preserve">    parches </w:t>
      </w:r>
      <w:r>
        <w:rPr>
          <w:rStyle w:val="OperatorTok"/>
        </w:rPr>
        <w:t xml:space="preserve">=</w:t>
      </w:r>
      <w:r>
        <w:rPr>
          <w:rStyle w:val="NormalTok"/>
        </w:rPr>
        <w:t xml:space="preserve"> GeoJSON.</w:t>
      </w:r>
      <w:r>
        <w:rPr>
          <w:rStyle w:val="FunctionTok"/>
        </w:rPr>
        <w:t xml:space="preserve">read</w:t>
      </w:r>
      <w:r>
        <w:rPr>
          <w:rStyle w:val="NormalTok"/>
        </w:rPr>
        <w:t xml:space="preserve">(</w:t>
      </w:r>
      <w:r>
        <w:rPr>
          <w:rStyle w:val="FunctionTok"/>
        </w:rPr>
        <w:t xml:space="preserve">read</w:t>
      </w:r>
      <w:r>
        <w:rPr>
          <w:rStyle w:val="NormalTok"/>
        </w:rPr>
        <w:t xml:space="preserve">(path, </w:t>
      </w:r>
      <w:r>
        <w:rPr>
          <w:rStyle w:val="DataTypeTok"/>
        </w:rPr>
        <w:t xml:space="preserve">String</w:t>
      </w:r>
      <w:r>
        <w:rPr>
          <w:rStyle w:val="NormalTok"/>
        </w:rPr>
        <w:t xml:space="preserve">))</w:t>
      </w:r>
      <w:r>
        <w:br/>
      </w:r>
      <w:r>
        <w:br/>
      </w:r>
      <w:r>
        <w:rPr>
          <w:rStyle w:val="NormalTok"/>
        </w:rPr>
        <w:t xml:space="preserve">    </w:t>
      </w:r>
      <w:r>
        <w:rPr>
          <w:rStyle w:val="CommentTok"/>
        </w:rPr>
        <w:t xml:space="preserve"># Area por formula del cordon (shoelace) y perimetro en metros</w:t>
      </w:r>
      <w:r>
        <w:br/>
      </w:r>
      <w:r>
        <w:rPr>
          <w:rStyle w:val="NormalTok"/>
        </w:rPr>
        <w:t xml:space="preserve">    áreas </w:t>
      </w:r>
      <w:r>
        <w:rPr>
          <w:rStyle w:val="OperatorTok"/>
        </w:rPr>
        <w:t xml:space="preserve">=</w:t>
      </w:r>
      <w:r>
        <w:rPr>
          <w:rStyle w:val="NormalTok"/>
        </w:rPr>
        <w:t xml:space="preserve"> [</w:t>
      </w:r>
      <w:r>
        <w:rPr>
          <w:rStyle w:val="FunctionTok"/>
        </w:rPr>
        <w:t xml:space="preserve">shoelace_area</w:t>
      </w:r>
      <w:r>
        <w:rPr>
          <w:rStyle w:val="NormalTok"/>
        </w:rPr>
        <w:t xml:space="preserve">(p) for p </w:t>
      </w:r>
      <w:r>
        <w:rPr>
          <w:rStyle w:val="KeywordTok"/>
        </w:rPr>
        <w:t xml:space="preserve">in</w:t>
      </w:r>
      <w:r>
        <w:rPr>
          <w:rStyle w:val="NormalTok"/>
        </w:rPr>
        <w:t xml:space="preserve"> parches]</w:t>
      </w:r>
      <w:r>
        <w:br/>
      </w:r>
      <w:r>
        <w:rPr>
          <w:rStyle w:val="NormalTok"/>
        </w:rPr>
        <w:t xml:space="preserve">    perim </w:t>
      </w:r>
      <w:r>
        <w:rPr>
          <w:rStyle w:val="OperatorTok"/>
        </w:rPr>
        <w:t xml:space="preserve">=</w:t>
      </w:r>
      <w:r>
        <w:rPr>
          <w:rStyle w:val="NormalTok"/>
        </w:rPr>
        <w:t xml:space="preserve"> [</w:t>
      </w:r>
      <w:r>
        <w:rPr>
          <w:rStyle w:val="FunctionTok"/>
        </w:rPr>
        <w:t xml:space="preserve">polygon_perimeter</w:t>
      </w:r>
      <w:r>
        <w:rPr>
          <w:rStyle w:val="NormalTok"/>
        </w:rPr>
        <w:t xml:space="preserve">(p) for p </w:t>
      </w:r>
      <w:r>
        <w:rPr>
          <w:rStyle w:val="KeywordTok"/>
        </w:rPr>
        <w:t xml:space="preserve">in</w:t>
      </w:r>
      <w:r>
        <w:rPr>
          <w:rStyle w:val="NormalTok"/>
        </w:rPr>
        <w:t xml:space="preserve"> parches]</w:t>
      </w:r>
      <w:r>
        <w:br/>
      </w:r>
      <w:r>
        <w:rPr>
          <w:rStyle w:val="NormalTok"/>
        </w:rPr>
        <w:t xml:space="preserve">    msi   </w:t>
      </w:r>
      <w:r>
        <w:rPr>
          <w:rStyle w:val="OperatorTok"/>
        </w:rPr>
        <w:t xml:space="preserve">=</w:t>
      </w:r>
      <w:r>
        <w:rPr>
          <w:rStyle w:val="NormalTok"/>
        </w:rPr>
        <w:t xml:space="preserve"> perim </w:t>
      </w:r>
      <w:r>
        <w:rPr>
          <w:rStyle w:val="OperatorTok"/>
        </w:rPr>
        <w:t xml:space="preserve">./</w:t>
      </w:r>
      <w:r>
        <w:rPr>
          <w:rStyle w:val="NormalTok"/>
        </w:rPr>
        <w:t xml:space="preserve"> </w:t>
      </w:r>
      <w:r>
        <w:rPr>
          <w:rStyle w:val="FunctionTok"/>
        </w:rPr>
        <w:t xml:space="preserve">sqrt</w:t>
      </w:r>
      <w:r>
        <w:rPr>
          <w:rStyle w:val="NormalTok"/>
        </w:rPr>
        <w:t xml:space="preserve">.(</w:t>
      </w:r>
      <w:r>
        <w:rPr>
          <w:rStyle w:val="ConstantTok"/>
        </w:rPr>
        <w:t xml:space="preserve">pi</w:t>
      </w:r>
      <w:r>
        <w:rPr>
          <w:rStyle w:val="NormalTok"/>
        </w:rPr>
        <w:t xml:space="preserve"> </w:t>
      </w:r>
      <w:r>
        <w:rPr>
          <w:rStyle w:val="OperatorTok"/>
        </w:rPr>
        <w:t xml:space="preserve">.*</w:t>
      </w:r>
      <w:r>
        <w:rPr>
          <w:rStyle w:val="NormalTok"/>
        </w:rPr>
        <w:t xml:space="preserve"> áreas)            </w:t>
      </w:r>
      <w:r>
        <w:rPr>
          <w:rStyle w:val="CommentTok"/>
        </w:rPr>
        <w:t xml:space="preserve"># indice de forma medio</w:t>
      </w:r>
      <w:r>
        <w:br/>
      </w:r>
      <w:r>
        <w:rPr>
          <w:rStyle w:val="NormalTok"/>
        </w:rPr>
        <w:t xml:space="preserve">    nnd   </w:t>
      </w:r>
      <w:r>
        <w:rPr>
          <w:rStyle w:val="OperatorTok"/>
        </w:rPr>
        <w:t xml:space="preserve">=</w:t>
      </w:r>
      <w:r>
        <w:rPr>
          <w:rStyle w:val="NormalTok"/>
        </w:rPr>
        <w:t xml:space="preserve"> </w:t>
      </w:r>
      <w:r>
        <w:rPr>
          <w:rStyle w:val="FunctionTok"/>
        </w:rPr>
        <w:t xml:space="preserve">nearest_neighbor_distances</w:t>
      </w:r>
      <w:r>
        <w:rPr>
          <w:rStyle w:val="NormalTok"/>
        </w:rPr>
        <w:t xml:space="preserve">(parches)    </w:t>
      </w:r>
      <w:r>
        <w:rPr>
          <w:rStyle w:val="CommentTok"/>
        </w:rPr>
        <w:t xml:space="preserve"># km al vecino más cercano</w:t>
      </w:r>
      <w:r>
        <w:br/>
      </w:r>
      <w:r>
        <w:br/>
      </w:r>
      <w:r>
        <w:rPr>
          <w:rStyle w:val="NormalTok"/>
        </w:rPr>
        <w:t xml:space="preserve">    </w:t>
      </w:r>
      <w:r>
        <w:rPr>
          <w:rStyle w:val="ControlFlowTok"/>
        </w:rPr>
        <w:t xml:space="preserve">return</w:t>
      </w:r>
      <w:r>
        <w:rPr>
          <w:rStyle w:val="NormalTok"/>
        </w:rPr>
        <w:t xml:space="preserve"> </w:t>
      </w:r>
      <w:r>
        <w:rPr>
          <w:rStyle w:val="FunctionTok"/>
        </w:rPr>
        <w:t xml:space="preserve">DataFrame</w:t>
      </w:r>
      <w:r>
        <w:rPr>
          <w:rStyle w:val="NormalTok"/>
        </w:rPr>
        <w:t xml:space="preserve">(</w:t>
      </w:r>
      <w:r>
        <w:br/>
      </w:r>
      <w:r>
        <w:rPr>
          <w:rStyle w:val="NormalTok"/>
        </w:rPr>
        <w:t xml:space="preserve">        periodo    </w:t>
      </w:r>
      <w:r>
        <w:rPr>
          <w:rStyle w:val="OperatorTok"/>
        </w:rPr>
        <w:t xml:space="preserve">=</w:t>
      </w:r>
      <w:r>
        <w:rPr>
          <w:rStyle w:val="NormalTok"/>
        </w:rPr>
        <w:t xml:space="preserve"> periodo,</w:t>
      </w:r>
      <w:r>
        <w:br/>
      </w:r>
      <w:r>
        <w:rPr>
          <w:rStyle w:val="NormalTok"/>
        </w:rPr>
        <w:t xml:space="preserve">        n_parches  </w:t>
      </w:r>
      <w:r>
        <w:rPr>
          <w:rStyle w:val="OperatorTok"/>
        </w:rPr>
        <w:t xml:space="preserve">=</w:t>
      </w:r>
      <w:r>
        <w:rPr>
          <w:rStyle w:val="NormalTok"/>
        </w:rPr>
        <w:t xml:space="preserve"> </w:t>
      </w:r>
      <w:r>
        <w:rPr>
          <w:rStyle w:val="FunctionTok"/>
        </w:rPr>
        <w:t xml:space="preserve">length</w:t>
      </w:r>
      <w:r>
        <w:rPr>
          <w:rStyle w:val="NormalTok"/>
        </w:rPr>
        <w:t xml:space="preserve">(parches),</w:t>
      </w:r>
      <w:r>
        <w:br/>
      </w:r>
      <w:r>
        <w:rPr>
          <w:rStyle w:val="NormalTok"/>
        </w:rPr>
        <w:t xml:space="preserve">        area_total </w:t>
      </w:r>
      <w:r>
        <w:rPr>
          <w:rStyle w:val="OperatorTok"/>
        </w:rPr>
        <w:t xml:space="preserve">=</w:t>
      </w:r>
      <w:r>
        <w:rPr>
          <w:rStyle w:val="NormalTok"/>
        </w:rPr>
        <w:t xml:space="preserve"> </w:t>
      </w:r>
      <w:r>
        <w:rPr>
          <w:rStyle w:val="FunctionTok"/>
        </w:rPr>
        <w:t xml:space="preserve">sum</w:t>
      </w:r>
      <w:r>
        <w:rPr>
          <w:rStyle w:val="NormalTok"/>
        </w:rPr>
        <w:t xml:space="preserve">(áreas) </w:t>
      </w:r>
      <w:r>
        <w:rPr>
          <w:rStyle w:val="OperatorTok"/>
        </w:rPr>
        <w:t xml:space="preserve">/</w:t>
      </w:r>
      <w:r>
        <w:rPr>
          <w:rStyle w:val="NormalTok"/>
        </w:rPr>
        <w:t xml:space="preserve"> </w:t>
      </w:r>
      <w:r>
        <w:rPr>
          <w:rStyle w:val="FloatTok"/>
        </w:rPr>
        <w:t xml:space="preserve">1e4</w:t>
      </w:r>
      <w:r>
        <w:rPr>
          <w:rStyle w:val="NormalTok"/>
        </w:rPr>
        <w:t xml:space="preserve">,             </w:t>
      </w:r>
      <w:r>
        <w:rPr>
          <w:rStyle w:val="CommentTok"/>
        </w:rPr>
        <w:t xml:space="preserve"># hectáreas</w:t>
      </w:r>
      <w:r>
        <w:br/>
      </w:r>
      <w:r>
        <w:rPr>
          <w:rStyle w:val="NormalTok"/>
        </w:rPr>
        <w:t xml:space="preserve">        area_media </w:t>
      </w:r>
      <w:r>
        <w:rPr>
          <w:rStyle w:val="OperatorTok"/>
        </w:rPr>
        <w:t xml:space="preserve">=</w:t>
      </w:r>
      <w:r>
        <w:rPr>
          <w:rStyle w:val="NormalTok"/>
        </w:rPr>
        <w:t xml:space="preserve"> </w:t>
      </w:r>
      <w:r>
        <w:rPr>
          <w:rStyle w:val="FunctionTok"/>
        </w:rPr>
        <w:t xml:space="preserve">mean</w:t>
      </w:r>
      <w:r>
        <w:rPr>
          <w:rStyle w:val="NormalTok"/>
        </w:rPr>
        <w:t xml:space="preserve">(áreas) </w:t>
      </w:r>
      <w:r>
        <w:rPr>
          <w:rStyle w:val="Operato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msi_mean   </w:t>
      </w:r>
      <w:r>
        <w:rPr>
          <w:rStyle w:val="OperatorTok"/>
        </w:rPr>
        <w:t xml:space="preserve">=</w:t>
      </w:r>
      <w:r>
        <w:rPr>
          <w:rStyle w:val="NormalTok"/>
        </w:rPr>
        <w:t xml:space="preserve"> </w:t>
      </w:r>
      <w:r>
        <w:rPr>
          <w:rStyle w:val="FunctionTok"/>
        </w:rPr>
        <w:t xml:space="preserve">mean</w:t>
      </w:r>
      <w:r>
        <w:rPr>
          <w:rStyle w:val="NormalTok"/>
        </w:rPr>
        <w:t xml:space="preserve">(msi),</w:t>
      </w:r>
      <w:r>
        <w:br/>
      </w:r>
      <w:r>
        <w:rPr>
          <w:rStyle w:val="NormalTok"/>
        </w:rPr>
        <w:t xml:space="preserve">        nnd_mean   </w:t>
      </w:r>
      <w:r>
        <w:rPr>
          <w:rStyle w:val="OperatorTok"/>
        </w:rPr>
        <w:t xml:space="preserve">=</w:t>
      </w:r>
      <w:r>
        <w:rPr>
          <w:rStyle w:val="NormalTok"/>
        </w:rPr>
        <w:t xml:space="preserve"> </w:t>
      </w:r>
      <w:r>
        <w:rPr>
          <w:rStyle w:val="FunctionTok"/>
        </w:rPr>
        <w:t xml:space="preserve">mean</w:t>
      </w:r>
      <w:r>
        <w:rPr>
          <w:rStyle w:val="NormalTok"/>
        </w:rPr>
        <w:t xml:space="preserve">(nnd) </w:t>
      </w:r>
      <w:r>
        <w:rPr>
          <w:rStyle w:val="OperatorTok"/>
        </w:rPr>
        <w:t xml:space="preserve">/</w:t>
      </w:r>
      <w:r>
        <w:rPr>
          <w:rStyle w:val="NormalTok"/>
        </w:rPr>
        <w:t xml:space="preserve"> </w:t>
      </w:r>
      <w:r>
        <w:rPr>
          <w:rStyle w:val="FloatTok"/>
        </w:rPr>
        <w:t xml:space="preserve">1e3</w:t>
      </w:r>
      <w:r>
        <w:rPr>
          <w:rStyle w:val="NormalTok"/>
        </w:rPr>
        <w:t xml:space="preserve">,</w:t>
      </w:r>
      <w:r>
        <w:br/>
      </w:r>
      <w:r>
        <w:rPr>
          <w:rStyle w:val="NormalTok"/>
        </w:rPr>
        <w:t xml:space="preserve">    )</w:t>
      </w:r>
      <w:r>
        <w:br/>
      </w:r>
      <w:r>
        <w:rPr>
          <w:rStyle w:val="KeywordTok"/>
        </w:rPr>
        <w:t xml:space="preserve">end</w:t>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52" Target="media/rId5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62" Target="media/rId62.png"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06" Target="media/rId106.png" /><Relationship Type="http://schemas.openxmlformats.org/officeDocument/2006/relationships/hyperlink" Id="rId144" Target="https://github.com/LinaQuinteroF/proyecto-cgsm" TargetMode="External" /><Relationship Type="http://schemas.openxmlformats.org/officeDocument/2006/relationships/hyperlink" Id="rId20" Target="https://github.com/linaq11/proyecto-cgsm-curso"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LinaQuinteroF/proyecto-cgsm" TargetMode="External" /><Relationship Type="http://schemas.openxmlformats.org/officeDocument/2006/relationships/hyperlink" Id="rId20" Target="https://github.com/linaq11/proyecto-cgsm-curs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2026-05-24T02:04:33Z</dcterms:created>
  <dcterms:modified xsi:type="dcterms:W3CDTF">2026-05-24T02:04:33Z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