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0" w:name="fig-area-estudio"/>
          <w:p>
            <w:pPr>
              <w:pStyle w:val="Compact"/>
              <w:spacing w:before="0" w:after="0"/>
              <w:jc w:val="center"/>
            </w:pPr>
            <w:r>
              <w:rPr>
                <w:b/>
                <w:color w:val="FFFFFF"/>
                <w:sz w:val="2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2" w:name="tbl-fuentes"/>
          <w:p>
            <w:pPr>
              <w:spacing w:before="0" w:after="0"/>
              <w:jc w:val="center"/>
            </w:pPr>
            <w:pPr>
              <w:jc w:val="start"/>
              <w:spacing w:before="200"/>
              <w:pStyle w:val="ImageCaption"/>
            </w:pPr>
            <w:r>
              <w:rPr>
                <w:b/>
                <w:color w:val="FFFFFF"/>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4" w:name="tbl-lenguajes"/>
          <w:p>
            <w:pPr>
              <w:spacing w:before="0" w:after="0"/>
              <w:jc w:val="center"/>
            </w:pPr>
            <w:pPr>
              <w:jc w:val="start"/>
              <w:spacing w:before="200"/>
              <w:pStyle w:val="ImageCaption"/>
            </w:pPr>
            <w:r>
              <w:rPr>
                <w:b/>
                <w:color w:val="FFFFFF"/>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9" w:name="fig-ndvi-cambio"/>
          <w:p>
            <w:pPr>
              <w:pStyle w:val="Compact"/>
              <w:spacing w:before="0" w:after="0"/>
              <w:jc w:val="center"/>
            </w:pPr>
            <w:r>
              <w:rPr>
                <w:b/>
                <w:color w:val="FFFFFF"/>
                <w:sz w:val="2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6" w:name="fig-flujo"/>
          <w:p>
            <w:pPr>
              <w:pStyle w:val="Compact"/>
              <w:spacing w:before="0" w:after="0"/>
              <w:jc w:val="center"/>
            </w:pPr>
          </w:p>
          <w:p>
            <w:pPr>
              <w:spacing w:before="0" w:after="0"/>
              <w:jc w:val="center"/>
            </w:pPr>
            <w:pPr>
              <w:jc w:val="start"/>
              <w:spacing w:before="200"/>
              <w:pStyle w:val="ImageCaption"/>
            </w:pPr>
            <w:r>
              <w:rPr>
                <w:b/>
                <w:color w:val="FFFFFF"/>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fig-ndvi-manglar"/>
          <w:p>
            <w:pPr>
              <w:pStyle w:val="Compact"/>
              <w:spacing w:before="0" w:after="0"/>
              <w:jc w:val="center"/>
            </w:pPr>
            <w:r>
              <w:rPr>
                <w:b/>
                <w:color w:val="FFFFFF"/>
                <w:sz w:val="2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4: Serie temporal del NDVI mediaño del manglar sobre AOI acotado (SFF CGSM + VPI Salamanca, 835 km²) entre 2018 y 2025, calculada a partir del datacube trimestral CF-1.8 restringida a píxeles con</w:t>
            </w:r>
            <w:r>
              <w:rPr>
                <w:b/>
                <w:color w:val="FFFFFF"/>
                <w:sz w:val="20"/>
              </w:rPr>
              <w:t xml:space="preserve"> </w:t>
            </w:r>
            <m:oMath>
              <m:r>
                <m:t>N</m:t>
              </m:r>
              <m:r>
                <m:t>D</m:t>
              </m:r>
              <m:r>
                <m:t>V</m:t>
              </m:r>
              <m:r>
                <m:t>I</m:t>
              </m:r>
              <m:r>
                <m:rPr>
                  <m:sty m:val="p"/>
                </m:rPr>
                <m:t>&gt;</m:t>
              </m:r>
              <m:r>
                <m:t>0</m:t>
              </m:r>
              <m:r>
                <m:rPr>
                  <m:sty m:val="p"/>
                </m:rPr>
                <m:t>,</m:t>
              </m:r>
              <m:r>
                <m:t>4</m:t>
              </m:r>
            </m:oMath>
            <w:r>
              <w:rPr>
                <w:b/>
                <w:color w:val="FFFFFF"/>
                <w:sz w:val="2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6" w:name="tbl-bfast-unificado"/>
          <w:p>
            <w:pPr>
              <w:spacing w:before="0" w:after="0"/>
              <w:jc w:val="center"/>
            </w:pPr>
            <w:pPr>
              <w:jc w:val="start"/>
              <w:spacing w:before="200"/>
              <w:pStyle w:val="ImageCaption"/>
            </w:pPr>
            <w:r>
              <w:rPr>
                <w:b/>
                <w:color w:val="FFFFFF"/>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fragmentacion-acotado"/>
          <w:p>
            <w:pPr>
              <w:spacing w:before="0" w:after="0"/>
              <w:jc w:val="center"/>
            </w:pPr>
            <w:pPr>
              <w:jc w:val="start"/>
              <w:spacing w:before="200"/>
              <w:pStyle w:val="ImageCaption"/>
            </w:pPr>
            <w:r>
              <w:rPr>
                <w:b/>
                <w:color w:val="FFFFFF"/>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clasif-estaciones"/>
          <w:p>
            <w:pPr>
              <w:spacing w:before="0" w:after="0"/>
              <w:jc w:val="center"/>
            </w:pPr>
            <w:pPr>
              <w:jc w:val="start"/>
              <w:spacing w:before="200"/>
              <w:pStyle w:val="ImageCaption"/>
            </w:pPr>
            <w:r>
              <w:rPr>
                <w:b/>
                <w:color w:val="FFFFFF"/>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6" w:name="fig-enso-serie"/>
          <w:p>
            <w:pPr>
              <w:pStyle w:val="Compact"/>
              <w:spacing w:before="0" w:after="0"/>
              <w:jc w:val="center"/>
            </w:pPr>
            <w:r>
              <w:rPr>
                <w:b/>
                <w:color w:val="FFFFFF"/>
                <w:sz w:val="2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0" w:name="fig-enso-correlación"/>
          <w:p>
            <w:pPr>
              <w:pStyle w:val="Compact"/>
              <w:spacing w:before="0" w:after="0"/>
              <w:jc w:val="center"/>
            </w:pPr>
            <w:r>
              <w:rPr>
                <w:b/>
                <w:color w:val="FFFFFF"/>
                <w:sz w:val="2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4" w:name="fig-caudal-series"/>
          <w:p>
            <w:pPr>
              <w:pStyle w:val="Compact"/>
              <w:spacing w:before="0" w:after="0"/>
              <w:jc w:val="center"/>
            </w:pPr>
            <w:r>
              <w:rPr>
                <w:b/>
                <w:color w:val="FFFFFF"/>
                <w:sz w:val="2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b/>
                <w:color w:val="FFFFFF"/>
                <w:sz w:val="2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8" w:name="fig-caudal-correlación"/>
          <w:p>
            <w:pPr>
              <w:pStyle w:val="Compact"/>
              <w:spacing w:before="0" w:after="0"/>
              <w:jc w:val="center"/>
            </w:pPr>
            <w:r>
              <w:rPr>
                <w:b/>
                <w:color w:val="FFFFFF"/>
                <w:sz w:val="2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82" w:name="fig-chirps-series"/>
          <w:p>
            <w:pPr>
              <w:pStyle w:val="Compact"/>
              <w:spacing w:before="0" w:after="0"/>
              <w:jc w:val="center"/>
            </w:pPr>
            <w:r>
              <w:rPr>
                <w:b/>
                <w:color w:val="FFFFFF"/>
                <w:sz w:val="2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9: Anomalías mensuales CHIRPS sobre las dos cuencas aportantes a la CGSM, 2013–2025. Los picos extremos</w:t>
            </w:r>
            <w:r>
              <w:rPr>
                <w:b/>
                <w:color w:val="FFFFFF"/>
                <w:sz w:val="20"/>
              </w:rPr>
              <w:t xml:space="preserve"> </w:t>
            </w:r>
            <m:oMath>
              <m:r>
                <m:t>z</m:t>
              </m:r>
              <m:r>
                <m:rPr>
                  <m:sty m:val="p"/>
                </m:rPr>
                <m:t>&gt;</m:t>
              </m:r>
              <m:r>
                <m:rPr>
                  <m:sty m:val="p"/>
                </m:rPr>
                <m:t>+</m:t>
              </m:r>
              <m:r>
                <m:t>2</m:t>
              </m:r>
            </m:oMath>
            <w:r>
              <w:rPr>
                <w:b/>
                <w:color w:val="FFFFFF"/>
                <w:sz w:val="20"/>
              </w:rPr>
              <w:t xml:space="preserve"> </w:t>
            </w:r>
            <w:r>
              <w:rPr>
                <w:b/>
                <w:color w:val="FFFFFF"/>
                <w:sz w:val="20"/>
              </w:rPr>
              <w:t xml:space="preserve">se concentran en 2022, en línea con los caudales IDEAM (figura</w:t>
            </w:r>
            <w:r>
              <w:rPr>
                <w:b/>
                <w:color w:val="FFFFFF"/>
                <w:sz w:val="20"/>
              </w:rPr>
              <w:t xml:space="preserve"> </w:t>
            </w:r>
            <w:hyperlink w:anchor="fig-caudal-series">
              <w:r>
                <w:rPr>
                  <w:rStyle w:val="Hyperlink"/>
                </w:rPr>
                <w:t xml:space="preserve">figura 7</w:t>
              </w:r>
            </w:hyperlink>
            <w:r>
              <w:rPr>
                <w:b/>
                <w:color w:val="FFFFFF"/>
                <w:sz w:val="2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86" w:name="fig-chirps-correlación"/>
          <w:p>
            <w:pPr>
              <w:pStyle w:val="Compact"/>
              <w:spacing w:before="0" w:after="0"/>
              <w:jc w:val="center"/>
            </w:pPr>
            <w:r>
              <w:rPr>
                <w:b/>
                <w:color w:val="FFFFFF"/>
                <w:sz w:val="2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10: Correlación de Pearson entre anomalía mensual CHIRPS y NDVI z-score por cuenca y naturaleza espectral. La convergencia con el caudal IDEAM (figura</w:t>
            </w:r>
            <w:r>
              <w:rPr>
                <w:b/>
                <w:color w:val="FFFFFF"/>
                <w:sz w:val="20"/>
              </w:rPr>
              <w:t xml:space="preserve"> </w:t>
            </w:r>
            <w:hyperlink w:anchor="fig-caudal-correlación">
              <w:r>
                <w:rPr>
                  <w:rStyle w:val="Hyperlink"/>
                </w:rPr>
                <w:t xml:space="preserve">figura 8</w:t>
              </w:r>
            </w:hyperlink>
            <w:r>
              <w:rPr>
                <w:b/>
                <w:color w:val="FFFFFF"/>
                <w:sz w:val="2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1" w:name="fig-trilingual"/>
          <w:p>
            <w:pPr>
              <w:pStyle w:val="Compact"/>
              <w:spacing w:before="0" w:after="0"/>
              <w:jc w:val="center"/>
            </w:pPr>
            <w:r>
              <w:rPr>
                <w:b/>
                <w:color w:val="FFFFFF"/>
                <w:sz w:val="2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3" w:name="tbl-sar"/>
          <w:p>
            <w:pPr>
              <w:spacing w:before="0" w:after="0"/>
              <w:jc w:val="center"/>
            </w:pPr>
            <w:pPr>
              <w:jc w:val="start"/>
              <w:spacing w:before="200"/>
              <w:pStyle w:val="ImageCaption"/>
            </w:pPr>
            <w:r>
              <w:rPr>
                <w:b/>
                <w:color w:val="FFFFFF"/>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6" w:name="tbl-validación"/>
          <w:p>
            <w:pPr>
              <w:spacing w:before="0" w:after="0"/>
              <w:jc w:val="center"/>
            </w:pPr>
            <w:pPr>
              <w:jc w:val="start"/>
              <w:spacing w:before="200"/>
              <w:pStyle w:val="ImageCaption"/>
            </w:pPr>
            <w:r>
              <w:rPr>
                <w:b/>
                <w:color w:val="FFFFFF"/>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8" w:name="tbl-benchmark-rf"/>
          <w:p>
            <w:pPr>
              <w:spacing w:before="0" w:after="0"/>
              <w:jc w:val="center"/>
            </w:pPr>
            <w:pPr>
              <w:jc w:val="start"/>
              <w:spacing w:before="200"/>
              <w:pStyle w:val="ImageCaption"/>
            </w:pPr>
            <w:r>
              <w:rPr>
                <w:b/>
                <w:color w:val="FFFFFF"/>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02" w:name="fig-rf-importance"/>
          <w:p>
            <w:pPr>
              <w:pStyle w:val="Compact"/>
              <w:spacing w:before="0" w:after="0"/>
              <w:jc w:val="center"/>
            </w:pPr>
            <w:r>
              <w:rPr>
                <w:b/>
                <w:color w:val="FFFFFF"/>
                <w:sz w:val="2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07" w:name="fig-sar-serie"/>
          <w:p>
            <w:pPr>
              <w:pStyle w:val="Compact"/>
              <w:spacing w:before="0" w:after="0"/>
              <w:jc w:val="center"/>
            </w:pPr>
            <w:r>
              <w:rPr>
                <w:b/>
                <w:color w:val="FFFFFF"/>
                <w:sz w:val="2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2" w:name="fig-alertas"/>
          <w:p>
            <w:pPr>
              <w:pStyle w:val="Compact"/>
              <w:spacing w:before="0" w:after="0"/>
              <w:jc w:val="center"/>
            </w:pPr>
            <w:r>
              <w:rPr>
                <w:b/>
                <w:color w:val="FFFFFF"/>
                <w:sz w:val="2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3" w:name="tbl-alertas"/>
          <w:p>
            <w:pPr>
              <w:spacing w:before="0" w:after="0"/>
              <w:jc w:val="center"/>
            </w:pPr>
            <w:pPr>
              <w:jc w:val="start"/>
              <w:spacing w:before="200"/>
              <w:pStyle w:val="ImageCaption"/>
            </w:pPr>
            <w:r>
              <w:rPr>
                <w:b/>
                <w:color w:val="FFFFFF"/>
                <w:sz w:val="20"/>
              </w:rPr>
              <w:t xml:space="preserve">Tabla 9: Estado actual del manglar de la CGSM por estación según el módulo de alertas tempranas (corte 2024-12 a 2025-12). El campo</w:t>
            </w:r>
            <w:r>
              <w:rPr>
                <w:b/>
                <w:color w:val="FFFFFF"/>
                <w:sz w:val="20"/>
              </w:rPr>
              <w:t xml:space="preserve"> </w:t>
            </w:r>
            <w:r>
              <w:rPr>
                <w:iCs/>
                <w:b/>
                <w:i/>
                <w:color w:val="FFFFFF"/>
                <w:sz w:val="20"/>
              </w:rPr>
              <w:t xml:space="preserve">z</w:t>
            </w:r>
            <w:r>
              <w:rPr>
                <w:b/>
                <w:color w:val="FFFFFF"/>
                <w:sz w:val="20"/>
              </w:rPr>
              <w:t xml:space="preserve"> </w:t>
            </w:r>
            <w:r>
              <w:rPr>
                <w:b/>
                <w:color w:val="FFFFFF"/>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single" w:sz="4" w:color="BFBFBF"/>
          <w:left w:val="single" w:sz="4" w:color="BFBFBF"/>
          <w:bottom w:val="single" w:sz="4" w:color="BFBFBF"/>
          <w:right w:val="single" w:sz="4" w:color="BFBFBF"/>
          <w:insideH w:val="single" w:sz="4" w:color="BFBFBF"/>
          <w:insideV w:val="single" w:sz="4" w:color="BFBFBF"/>
        </w:tblBorders>
        <w:tblW w:w="5000" w:type="pct"/>
        <w:tblLayout w:type="autofit"/>
      </w:tblPr>
      <w:tr>
        <w:trPr>
          <w:cantSplit/>
        </w:trPr>
        <w:tc>
          <w:tcPr>
            <w:tcMar>
              <w:left w:w="144"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pPr>
              <w:pStyle w:val="BodyText"/>
              <w:spacing w:before="0" w:after="0"/>
            </w:pPr>
            <w:pPr>
              <w:spacing w:before="16" w:after="64"/>
            </w:pPr>
            <w:r>
              <w:rPr>
                <w:bCs/>
                <w:b/>
                <w:color w:val="FFFFFF"/>
                <w:sz w:val="20"/>
              </w:rPr>
              <w:t xml:space="preserve">Material complementario</w:t>
            </w:r>
          </w:p>
          <w:p>
            <w:pPr>
              <w:pStyle w:val="BodyText"/>
              <w:spacing w:before="0" w:after="0"/>
            </w:pPr>
            <w:pPr>
              <w:spacing w:before="16" w:after="16"/>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FFFFFF"/>
                <w:sz w:val="20"/>
              </w:rPr>
              <w:t xml:space="preserve"> </w:t>
            </w:r>
            <w:r>
              <w:rPr>
                <w:rStyle w:val="VerbatimChar"/>
                <w:bCs/>
                <w:b/>
                <w:color w:val="FFFFFF"/>
                <w:sz w:val="20"/>
              </w:rPr>
              <w:t xml:space="preserve">informe_anexos.pdf</w:t>
            </w:r>
            <w:r>
              <w:rPr>
                <w:b/>
                <w:color w:val="FFFFFF"/>
                <w:sz w:val="20"/>
              </w:rPr>
              <w:t xml:space="preserve">, disponible en el repositorio del proyecto en</w:t>
            </w:r>
            <w:r>
              <w:rPr>
                <w:b/>
                <w:color w:val="FFFFFF"/>
                <w:sz w:val="20"/>
              </w:rPr>
              <w:t xml:space="preserve"> </w:t>
            </w:r>
            <w:hyperlink r:id="rId20">
              <w:r>
                <w:rPr>
                  <w:rStyle w:val="Hyperlink"/>
                </w:rPr>
                <w:t xml:space="preserve">https://github.com/linaq11/proyecto-cgsm-curso</w:t>
              </w:r>
            </w:hyperlink>
            <w:r>
              <w:rPr>
                <w:b/>
                <w:color w:val="FFFFFF"/>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2026-05-26T01:28:43Z</dcterms:created>
  <dcterms:modified xsi:type="dcterms:W3CDTF">2026-05-26T01:28:43Z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