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0" w:name="fig-area-estudio"/>
          <w:p>
            <w:pPr>
              <w:pStyle w:val="Compact"/>
              <w:spacing w:before="0" w:after="0"/>
              <w:jc w:val="center"/>
            </w:pPr>
            <w:r>
              <w:rPr>
                <w:b/>
                <w:color w:val="FFFFFF"/>
                <w:sz w:val="2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9" w:name="fig-ndvi-cambio"/>
          <w:p>
            <w:pPr>
              <w:pStyle w:val="Compact"/>
              <w:spacing w:before="0" w:after="0"/>
              <w:jc w:val="center"/>
            </w:pPr>
            <w:r>
              <w:rPr>
                <w:b/>
                <w:color w:val="FFFFFF"/>
                <w:sz w:val="2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fig-ndvi-manglar"/>
          <w:p>
            <w:pPr>
              <w:pStyle w:val="Compact"/>
              <w:spacing w:before="0" w:after="0"/>
              <w:jc w:val="center"/>
            </w:pPr>
            <w:r>
              <w:rPr>
                <w:b/>
                <w:color w:val="FFFFFF"/>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4: Serie temporal del NDVI mediaño del manglar sobre AOI acotado (SFF CGSM + VPI Salamanca, 835 km²) entre 2018 y 2025, calculada a partir del datacube trimestral CF-1.8 restringida a píxeles con</w:t>
            </w:r>
            <w:r>
              <w:rPr>
                <w:b/>
                <w:color w:val="FFFFFF"/>
                <w:sz w:val="20"/>
              </w:rPr>
              <w:t xml:space="preserve"> </w:t>
            </w:r>
            <m:oMath>
              <m:r>
                <m:t>N</m:t>
              </m:r>
              <m:r>
                <m:t>D</m:t>
              </m:r>
              <m:r>
                <m:t>V</m:t>
              </m:r>
              <m:r>
                <m:t>I</m:t>
              </m:r>
              <m:r>
                <m:rPr>
                  <m:sty m:val="p"/>
                </m:rPr>
                <m:t>&gt;</m:t>
              </m:r>
              <m:r>
                <m:t>0</m:t>
              </m:r>
              <m:r>
                <m:rPr>
                  <m:sty m:val="p"/>
                </m:rPr>
                <m:t>,</m:t>
              </m:r>
              <m:r>
                <m:t>4</m:t>
              </m:r>
            </m:oMath>
            <w:r>
              <w:rPr>
                <w:b/>
                <w:color w:val="FFFFFF"/>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6" w:name="fig-enso-serie"/>
          <w:p>
            <w:pPr>
              <w:pStyle w:val="Compact"/>
              <w:spacing w:before="0" w:after="0"/>
              <w:jc w:val="center"/>
            </w:pPr>
            <w:r>
              <w:rPr>
                <w:b/>
                <w:color w:val="FFFFFF"/>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0" w:name="fig-enso-correlación"/>
          <w:p>
            <w:pPr>
              <w:pStyle w:val="Compact"/>
              <w:spacing w:before="0" w:after="0"/>
              <w:jc w:val="center"/>
            </w:pPr>
            <w:r>
              <w:rPr>
                <w:b/>
                <w:color w:val="FFFFFF"/>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4" w:name="fig-caudal-series"/>
          <w:p>
            <w:pPr>
              <w:pStyle w:val="Compact"/>
              <w:spacing w:before="0" w:after="0"/>
              <w:jc w:val="center"/>
            </w:pPr>
            <w:r>
              <w:rPr>
                <w:b/>
                <w:color w:val="FFFFFF"/>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FFFFFF"/>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8" w:name="fig-caudal-correlación"/>
          <w:p>
            <w:pPr>
              <w:pStyle w:val="Compact"/>
              <w:spacing w:before="0" w:after="0"/>
              <w:jc w:val="center"/>
            </w:pPr>
            <w:r>
              <w:rPr>
                <w:b/>
                <w:color w:val="FFFFFF"/>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2" w:name="fig-chirps-series"/>
          <w:p>
            <w:pPr>
              <w:pStyle w:val="Compact"/>
              <w:spacing w:before="0" w:after="0"/>
              <w:jc w:val="center"/>
            </w:pPr>
            <w:r>
              <w:rPr>
                <w:b/>
                <w:color w:val="FFFFFF"/>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9: Anomalías mensuales CHIRPS sobre las dos cuencas aportantes a la CGSM, 2013–2025. Los picos extremos</w:t>
            </w:r>
            <w:r>
              <w:rPr>
                <w:b/>
                <w:color w:val="FFFFFF"/>
                <w:sz w:val="20"/>
              </w:rPr>
              <w:t xml:space="preserve"> </w:t>
            </w:r>
            <m:oMath>
              <m:r>
                <m:t>z</m:t>
              </m:r>
              <m:r>
                <m:rPr>
                  <m:sty m:val="p"/>
                </m:rPr>
                <m:t>&gt;</m:t>
              </m:r>
              <m:r>
                <m:rPr>
                  <m:sty m:val="p"/>
                </m:rPr>
                <m:t>+</m:t>
              </m:r>
              <m:r>
                <m:t>2</m:t>
              </m:r>
            </m:oMath>
            <w:r>
              <w:rPr>
                <w:b/>
                <w:color w:val="FFFFFF"/>
                <w:sz w:val="20"/>
              </w:rPr>
              <w:t xml:space="preserve"> </w:t>
            </w:r>
            <w:r>
              <w:rPr>
                <w:b/>
                <w:color w:val="FFFFFF"/>
                <w:sz w:val="20"/>
              </w:rPr>
              <w:t xml:space="preserve">se concentran en 2022, en línea con los caudales IDEAM (figura</w:t>
            </w:r>
            <w:r>
              <w:rPr>
                <w:b/>
                <w:color w:val="FFFFFF"/>
                <w:sz w:val="20"/>
              </w:rPr>
              <w:t xml:space="preserve"> </w:t>
            </w:r>
            <w:hyperlink w:anchor="fig-caudal-series">
              <w:r>
                <w:rPr>
                  <w:rStyle w:val="Hyperlink"/>
                </w:rPr>
                <w:t xml:space="preserve">figura 7</w:t>
              </w:r>
            </w:hyperlink>
            <w:r>
              <w:rPr>
                <w:b/>
                <w:color w:val="FFFFFF"/>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6" w:name="fig-chirps-correlación"/>
          <w:p>
            <w:pPr>
              <w:pStyle w:val="Compact"/>
              <w:spacing w:before="0" w:after="0"/>
              <w:jc w:val="center"/>
            </w:pPr>
            <w:r>
              <w:rPr>
                <w:b/>
                <w:color w:val="FFFFFF"/>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10: Correlación de Pearson entre anomalía mensual CHIRPS y NDVI z-score por cuenca y naturaleza espectral. La convergencia con el caudal IDEAM (figura</w:t>
            </w:r>
            <w:r>
              <w:rPr>
                <w:b/>
                <w:color w:val="FFFFFF"/>
                <w:sz w:val="20"/>
              </w:rPr>
              <w:t xml:space="preserve"> </w:t>
            </w:r>
            <w:hyperlink w:anchor="fig-caudal-correlación">
              <w:r>
                <w:rPr>
                  <w:rStyle w:val="Hyperlink"/>
                </w:rPr>
                <w:t xml:space="preserve">figura 8</w:t>
              </w:r>
            </w:hyperlink>
            <w:r>
              <w:rPr>
                <w:b/>
                <w:color w:val="FFFFFF"/>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1" w:name="fig-trilingual"/>
          <w:p>
            <w:pPr>
              <w:pStyle w:val="Compact"/>
              <w:spacing w:before="0" w:after="0"/>
              <w:jc w:val="center"/>
            </w:pPr>
            <w:r>
              <w:rPr>
                <w:b/>
                <w:color w:val="FFFFFF"/>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2" w:name="fig-rf-importance"/>
          <w:p>
            <w:pPr>
              <w:pStyle w:val="Compact"/>
              <w:spacing w:before="0" w:after="0"/>
              <w:jc w:val="center"/>
            </w:pPr>
            <w:r>
              <w:rPr>
                <w:b/>
                <w:color w:val="FFFFFF"/>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7" w:name="fig-sar-serie"/>
          <w:p>
            <w:pPr>
              <w:pStyle w:val="Compact"/>
              <w:spacing w:before="0" w:after="0"/>
              <w:jc w:val="center"/>
            </w:pPr>
            <w:r>
              <w:rPr>
                <w:b/>
                <w:color w:val="FFFFFF"/>
                <w:sz w:val="2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 </w:t>
      </w:r>
      <w:r>
        <w:rPr>
          <w:color w:val="000000"/>
        </w:rPr>
        <w:t>(</w:t>
      </w:r>
      <w:r>
        <w:rPr>
          <w:color w:val="4CAF50"/>
        </w:rPr>
        <w:t xml:space="preserv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w:t>
      </w:r>
      <w:r>
        <w:rPr>
          <w:color w:val="FFC107"/>
        </w:rPr>
        <w:t xml:space="preserve">●</w:t>
      </w:r>
      <w:r>
        <w:rPr>
          <w:color w:val="000000"/>
        </w:rPr>
        <w:t xml:space="preserve">) o</w:t>
      </w:r>
      <w:r>
        <w:rPr>
          <w:color w:val="000000"/>
        </w:rPr>
        <w:t xml:space="preserve"> </w:t>
      </w:r>
      <w:r>
        <w:rPr>
          <w:bCs/>
          <w:b/>
          <w:color w:val="000000"/>
        </w:rPr>
        <w:t xml:space="preserve">crítica</w:t>
      </w:r>
      <w:r>
        <w:rPr>
          <w:color w:val="000000"/>
        </w:rPr>
        <w:t xml:space="preserve"> </w:t>
      </w:r>
      <w:r>
        <w:rPr>
          <w:color w:val="000000"/>
        </w:rPr>
        <w:t>(</w:t>
      </w:r>
      <w:r>
        <w:rPr>
          <w:color w:val="F44336"/>
        </w:rPr>
        <w:t xml:space="preserve">●</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2" w:name="fig-alertas"/>
          <w:p>
            <w:pPr>
              <w:pStyle w:val="Compact"/>
              <w:spacing w:before="0" w:after="0"/>
              <w:jc w:val="center"/>
            </w:pPr>
            <w:r>
              <w:rPr>
                <w:b/>
                <w:color w:val="FFFFFF"/>
                <w:sz w:val="2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W w:w="5000" w:type="pct"/>
        <w:tblLayout w:type="autofit"/>
        <w:tblBorders>
          <w:top w:val="single" w:sz="4" w:color="BFBFBF"/>
          <w:left w:val="single" w:sz="4" w:color="BFBFBF"/>
          <w:bottom w:val="single" w:sz="4" w:color="BFBFBF"/>
          <w:right w:val="single" w:sz="4" w:color="BFBFBF"/>
          <w:insideH w:val="single" w:sz="4" w:color="BFBFBF"/>
          <w:insideV w:val="single" w:sz="4" w:color="BFBFBF"/>
        </w:tblBorders>
      </w:tblPr>
      <w:tr>
        <w:trPr>
          <w:cantSplit/>
        </w:trPr>
        <w:tc>
          <w:tcPr>
            <w:tcMar>
              <w:left w:w="144"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2026-05-26T01:11:43Z</dcterms:created>
  <dcterms:modified xsi:type="dcterms:W3CDTF">2026-05-26T01:11:43Z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