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620EC7">
      <w:pPr>
        <w:pStyle w:val="21"/>
      </w:pPr>
      <w:r>
        <w:rPr>
          <w:color w:val="000000"/>
        </w:rPr>
        <w:t>Pipeline multilenguaje (Python, R, Julia) para el monitoreo de manglar en la CGSM (2013–2025)</w:t>
      </w:r>
    </w:p>
    <w:p w14:paraId="19D51942">
      <w:pPr>
        <w:pStyle w:val="25"/>
      </w:pPr>
      <w:r>
        <w:rPr>
          <w:color w:val="000000"/>
        </w:rPr>
        <w:t>Lina María Quintero Fonseca</w:t>
      </w:r>
    </w:p>
    <w:p w14:paraId="647DCD90">
      <w:pPr>
        <w:pStyle w:val="19"/>
      </w:pPr>
      <w:r>
        <w:rPr>
          <w:color w:val="000000"/>
        </w:rPr>
        <w:t>2026-05-25</w:t>
      </w:r>
    </w:p>
    <w:p w14:paraId="156F6269">
      <w:pPr>
        <w:pStyle w:val="23"/>
      </w:pPr>
      <w:r>
        <w:rPr>
          <w:color w:val="000000"/>
        </w:rPr>
        <w:t>Universidad Nacional de Colombia</w:t>
      </w:r>
      <w:r>
        <w:rPr>
          <w:color w:val="000000"/>
        </w:rPr>
        <w:br w:type="textWrapping"/>
      </w:r>
      <w:r>
        <w:rPr>
          <w:color w:val="000000"/>
        </w:rPr>
        <w:t>Facultad de Ciencias Agrarias , Maestría en Geomática</w:t>
      </w:r>
      <w:r>
        <w:rPr>
          <w:color w:val="000000"/>
        </w:rPr>
        <w:br w:type="textWrapping"/>
      </w:r>
      <w:r>
        <w:rPr>
          <w:color w:val="000000"/>
        </w:rPr>
        <w:t>Programación en SIG , Proyecto Final</w:t>
      </w:r>
      <w:r>
        <w:rPr>
          <w:color w:val="000000"/>
        </w:rPr>
        <w:br w:type="textWrapping"/>
      </w:r>
      <w:r>
        <w:rPr>
          <w:color w:val="000000"/>
        </w:rPr>
        <w:t xml:space="preserve">Repositorio: </w:t>
      </w:r>
      <w:r>
        <w:rPr>
          <w:color w:val="000000"/>
        </w:rPr>
        <w:fldChar w:fldCharType="begin"/>
      </w:r>
      <w:r>
        <w:rPr>
          <w:color w:val="000000"/>
        </w:rPr>
        <w:instrText xml:space="preserve"> HYPERLINK "https://github.com/linaq11/proyecto-cgsm-curso" \h </w:instrText>
      </w:r>
      <w:r>
        <w:rPr>
          <w:color w:val="000000"/>
        </w:rPr>
        <w:fldChar w:fldCharType="separate"/>
      </w:r>
      <w:r>
        <w:rPr>
          <w:rStyle w:val="16"/>
          <w:color w:val="000000"/>
        </w:rPr>
        <w:t>https://github.com/linaq11/proyecto-cgsm-curso</w:t>
      </w:r>
      <w:r>
        <w:rPr>
          <w:rStyle w:val="16"/>
          <w:color w:val="000000"/>
        </w:rPr>
        <w:fldChar w:fldCharType="end"/>
      </w:r>
    </w:p>
    <w:p w14:paraId="23BFC8C8">
      <w:pPr>
        <w:pStyle w:val="3"/>
      </w:pPr>
      <w:r>
        <w:rPr>
          <w:color w:val="000000"/>
        </w:rPr>
        <w:t>,</w:t>
      </w:r>
    </w:p>
    <w:p w14:paraId="7173E268">
      <w:pPr>
        <w:pStyle w:val="2"/>
      </w:pPr>
      <w:bookmarkStart w:id="0" w:name="resumen"/>
      <w:r>
        <w:rPr>
          <w:color w:val="000000"/>
        </w:rPr>
        <w:t>1. Resumen</w:t>
      </w:r>
    </w:p>
    <w:p w14:paraId="34C1CF91">
      <w:pPr>
        <w:pStyle w:val="23"/>
      </w:pPr>
      <w:r>
        <w:rPr>
          <w:color w:val="000000"/>
        </w:rPr>
        <w:t>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14:paraId="3FACBFFE">
      <w:pPr>
        <w:pStyle w:val="3"/>
      </w:pPr>
      <w:r>
        <w:rPr>
          <w:b/>
          <w:bCs/>
          <w:color w:val="000000"/>
        </w:rPr>
        <w:t>Palabras clave:</w:t>
      </w:r>
      <w:r>
        <w:rPr>
          <w:color w:val="000000"/>
        </w:rPr>
        <w:t xml:space="preserve"> Ciénaga Grande de Santa Marta, manglar, NDVI, bfast, Sentinel-2, Landsat 8, Sentinel-1 SAR, SamGeo, Random Forest, ENSO, La Niña, Google Earth Engine, pipeline multilenguaje.</w:t>
      </w:r>
    </w:p>
    <w:bookmarkEnd w:id="0"/>
    <w:p w14:paraId="0DAF0AB7">
      <w:pPr>
        <w:pStyle w:val="2"/>
      </w:pPr>
      <w:bookmarkStart w:id="1" w:name="introducción-y-justificación"/>
      <w:r>
        <w:rPr>
          <w:color w:val="000000"/>
        </w:rPr>
        <w:t>2. Introducción y Justificación</w:t>
      </w:r>
    </w:p>
    <w:p w14:paraId="041C2859">
      <w:pPr>
        <w:pStyle w:val="23"/>
      </w:pPr>
      <w:r>
        <w:rPr>
          <w:color w:val="000000"/>
        </w:rPr>
        <w:t>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14:paraId="3EB1441B">
      <w:pPr>
        <w:pStyle w:val="3"/>
      </w:pPr>
      <w:r>
        <w:rPr>
          <w:color w:val="000000"/>
        </w:rPr>
        <w:t>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14:paraId="5BBCCC05">
      <w:pPr>
        <w:pStyle w:val="3"/>
      </w:pPr>
      <w:r>
        <w:rPr>
          <w:color w:val="000000"/>
        </w:rPr>
        <w:t>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14:paraId="33459C83">
      <w:pPr>
        <w:pStyle w:val="3"/>
      </w:pPr>
      <w:r>
        <w:rPr>
          <w:color w:val="000000"/>
        </w:rPr>
        <w:t xml:space="preserve">A partir de lo anterior, el presente estudio se articula en torno a la siguiente pregunta de investigación: </w:t>
      </w:r>
      <w:r>
        <w:rPr>
          <w:b/>
          <w:bCs/>
          <w:color w:val="000000"/>
        </w:rPr>
        <w:t>¿cómo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1"/>
    <w:p w14:paraId="3791F43C">
      <w:pPr>
        <w:pStyle w:val="2"/>
      </w:pPr>
      <w:bookmarkStart w:id="2" w:name="estado-del-arte"/>
      <w:r>
        <w:rPr>
          <w:color w:val="000000"/>
        </w:rPr>
        <w:t>3. Estado del Arte</w:t>
      </w:r>
    </w:p>
    <w:p w14:paraId="7C912B6E">
      <w:pPr>
        <w:pStyle w:val="23"/>
      </w:pPr>
      <w:r>
        <w:rPr>
          <w:color w:val="000000"/>
        </w:rPr>
        <w:t>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14:paraId="20960A18">
      <w:pPr>
        <w:pStyle w:val="3"/>
      </w:pPr>
      <w:r>
        <w:rPr>
          <w:color w:val="000000"/>
        </w:rPr>
        <w:t>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14:paraId="24F5DF91">
      <w:pPr>
        <w:pStyle w:val="3"/>
      </w:pPr>
      <w:r>
        <w:rPr>
          <w:color w:val="000000"/>
        </w:rPr>
        <w:t>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
    <w:p w14:paraId="14CDB9B2">
      <w:pPr>
        <w:pStyle w:val="2"/>
      </w:pPr>
      <w:bookmarkStart w:id="3" w:name="objetivos"/>
      <w:r>
        <w:rPr>
          <w:color w:val="000000"/>
        </w:rPr>
        <w:t>4. Objetivos</w:t>
      </w:r>
    </w:p>
    <w:p w14:paraId="57ED5187">
      <w:pPr>
        <w:pStyle w:val="4"/>
      </w:pPr>
      <w:bookmarkStart w:id="4" w:name="objetivo-general"/>
      <w:r>
        <w:rPr>
          <w:color w:val="000000"/>
        </w:rPr>
        <w:t>4.1 Objetivo general</w:t>
      </w:r>
    </w:p>
    <w:p w14:paraId="29E1ED18">
      <w:pPr>
        <w:pStyle w:val="23"/>
      </w:pPr>
      <w:r>
        <w:rPr>
          <w:color w:val="000000"/>
        </w:rPr>
        <w:t>Desarrollar un pipeline GeoAI multilenguaje para el monitoreo de la dinámica espaciotemporal de la cobertura de manglar en la Ciénaga Grande de Santa Marta (2013–2025).</w:t>
      </w:r>
    </w:p>
    <w:bookmarkEnd w:id="4"/>
    <w:p w14:paraId="29F6EF95">
      <w:pPr>
        <w:pStyle w:val="4"/>
      </w:pPr>
      <w:bookmarkStart w:id="5" w:name="objetivos-específicos"/>
      <w:r>
        <w:rPr>
          <w:color w:val="000000"/>
        </w:rPr>
        <w:t>4.2 Objetivos específicos</w:t>
      </w:r>
    </w:p>
    <w:p w14:paraId="78EF0E9A">
      <w:pPr>
        <w:pStyle w:val="24"/>
        <w:numPr>
          <w:ilvl w:val="0"/>
          <w:numId w:val="1"/>
        </w:numPr>
      </w:pPr>
      <w:r>
        <w:rPr>
          <w:color w:val="000000"/>
        </w:rPr>
        <w:t>Construir un datacube multitemporal de índices espectrales (NDVI, NDWI, CMRI) para la CGSM en el periodo 2013–2025.</w:t>
      </w:r>
    </w:p>
    <w:p w14:paraId="0E287B00">
      <w:pPr>
        <w:pStyle w:val="24"/>
        <w:numPr>
          <w:ilvl w:val="0"/>
          <w:numId w:val="1"/>
        </w:numPr>
      </w:pPr>
      <w:r>
        <w:rPr>
          <w:color w:val="000000"/>
        </w:rPr>
        <w:t>Identificar los periodos de degradación y recuperación del manglar entre 2013 y 2025 mediante análisis de anomalías z-score y quiebres bfast.</w:t>
      </w:r>
    </w:p>
    <w:p w14:paraId="13F357E2">
      <w:pPr>
        <w:pStyle w:val="24"/>
        <w:numPr>
          <w:ilvl w:val="0"/>
          <w:numId w:val="1"/>
        </w:numPr>
      </w:pPr>
      <w:r>
        <w:rPr>
          <w:color w:val="000000"/>
        </w:rPr>
        <w:t>Validar la segmentación automática de cobertura de manglar contra cartografía de referencia (INVEMAR 1:25.000 y ESA WorldCover v200).</w:t>
      </w:r>
    </w:p>
    <w:bookmarkEnd w:id="3"/>
    <w:bookmarkEnd w:id="5"/>
    <w:p w14:paraId="5CC870B8">
      <w:pPr>
        <w:pStyle w:val="2"/>
      </w:pPr>
      <w:bookmarkStart w:id="6" w:name="área-de-estudio"/>
      <w:r>
        <w:rPr>
          <w:color w:val="000000"/>
        </w:rPr>
        <w:t>5. Área de estudio</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390ABB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4DFD8E7">
            <w:pPr>
              <w:pStyle w:val="24"/>
              <w:jc w:val="center"/>
            </w:pPr>
            <w:bookmarkStart w:id="7" w:name="fig-area-estudio"/>
            <w:r>
              <w:rPr>
                <w:color w:val="000000"/>
              </w:rPr>
              <w:drawing>
                <wp:inline distT="0" distB="0" distL="114300" distR="114300">
                  <wp:extent cx="3200400" cy="2336800"/>
                  <wp:effectExtent l="0" t="0" r="0" b="0"/>
                  <wp:docPr id="2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pic:cNvPicPr>
                            <a:picLocks noChangeAspect="1" noChangeArrowheads="1"/>
                          </pic:cNvPicPr>
                        </pic:nvPicPr>
                        <pic:blipFill>
                          <a:blip r:embed="rId5"/>
                          <a:stretch>
                            <a:fillRect/>
                          </a:stretch>
                        </pic:blipFill>
                        <pic:spPr>
                          <a:xfrm>
                            <a:off x="0" y="0"/>
                            <a:ext cx="3200400" cy="2337134"/>
                          </a:xfrm>
                          <a:prstGeom prst="rect">
                            <a:avLst/>
                          </a:prstGeom>
                          <a:noFill/>
                          <a:ln>
                            <a:noFill/>
                          </a:ln>
                        </pic:spPr>
                      </pic:pic>
                    </a:graphicData>
                  </a:graphic>
                </wp:inline>
              </w:drawing>
            </w:r>
          </w:p>
          <w:p w14:paraId="18B294F8">
            <w:pPr>
              <w:pStyle w:val="33"/>
              <w:spacing w:before="200"/>
              <w:jc w:val="left"/>
            </w:pPr>
            <w:r>
              <w:rPr>
                <w:color w:val="000000"/>
              </w:rPr>
              <w:t>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7"/>
        </w:tc>
      </w:tr>
    </w:tbl>
    <w:p w14:paraId="2D38DC34">
      <w:pPr>
        <w:pStyle w:val="3"/>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 </w:t>
      </w:r>
      <w:r>
        <w:rPr>
          <w:b/>
          <w:bCs/>
          <w:color w:val="000000"/>
        </w:rPr>
        <w:t>AOI envolvente</w:t>
      </w:r>
      <w:r>
        <w:rPr>
          <w:color w:val="000000"/>
        </w:rPr>
        <w:t xml:space="preserve"> 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 </w:t>
      </w:r>
      <w:r>
        <w:rPr>
          <w:b/>
          <w:bCs/>
          <w:color w:val="000000"/>
        </w:rPr>
        <w:t>AOI acotado</w:t>
      </w:r>
      <w:r>
        <w:rPr>
          <w:color w:val="000000"/>
        </w:rPr>
        <w:t xml:space="preserve"> 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14:paraId="0592E575">
      <w:pPr>
        <w:pStyle w:val="3"/>
      </w:pPr>
      <w:r>
        <w:rPr>
          <w:color w:val="000000"/>
        </w:rPr>
        <w:t>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6"/>
    <w:p w14:paraId="1E943EE9">
      <w:pPr>
        <w:pStyle w:val="2"/>
      </w:pPr>
      <w:bookmarkStart w:id="8" w:name="fuentes-de-datos"/>
      <w:r>
        <w:rPr>
          <w:color w:val="000000"/>
        </w:rPr>
        <w:t>6. Fuentes de Datos</w:t>
      </w:r>
    </w:p>
    <w:p w14:paraId="7D87567F">
      <w:pPr>
        <w:pStyle w:val="23"/>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 </w:t>
      </w:r>
      <w:r>
        <w:rPr>
          <w:color w:val="000000"/>
        </w:rPr>
        <w:fldChar w:fldCharType="begin"/>
      </w:r>
      <w:r>
        <w:rPr>
          <w:color w:val="000000"/>
        </w:rPr>
        <w:instrText xml:space="preserve"> HYPERLINK \l "tbl-fuentes" \h </w:instrText>
      </w:r>
      <w:r>
        <w:rPr>
          <w:color w:val="000000"/>
        </w:rPr>
        <w:fldChar w:fldCharType="separate"/>
      </w:r>
      <w:r>
        <w:rPr>
          <w:rStyle w:val="16"/>
          <w:color w:val="000000"/>
        </w:rPr>
        <w:t>tabla 1</w:t>
      </w:r>
      <w:r>
        <w:rPr>
          <w:rStyle w:val="16"/>
          <w:color w:val="000000"/>
        </w:rPr>
        <w:fldChar w:fldCharType="end"/>
      </w:r>
    </w:p>
    <w:p w14:paraId="184AC2C6">
      <w:pPr>
        <w:pStyle w:val="33"/>
        <w:spacing w:before="200" w:after="0"/>
        <w:jc w:val="left"/>
        <w:rPr>
          <w:b/>
          <w:color w:val="auto"/>
          <w:sz w:val="20"/>
        </w:rPr>
      </w:pPr>
      <w:bookmarkStart w:id="9" w:name="tbl-fuentes"/>
      <w:r>
        <w:rPr>
          <w:b/>
          <w:color w:val="000000"/>
          <w:sz w:val="20"/>
        </w:rPr>
        <w:t>Tabla 1: Fuentes de datos utilizadas en el pipeline para el monitoreo de manglar.</w:t>
      </w:r>
    </w:p>
    <w:p w14:paraId="74CA9D6D">
      <w:pPr>
        <w:pStyle w:val="33"/>
        <w:spacing w:before="200" w:after="0"/>
        <w:jc w:val="left"/>
        <w:rPr>
          <w:b/>
          <w:color w:val="auto"/>
          <w:sz w:val="20"/>
        </w:rPr>
      </w:pPr>
      <w:bookmarkStart w:id="59" w:name="_GoBack"/>
      <w:bookmarkEnd w:id="59"/>
    </w:p>
    <w:tbl>
      <w:tblPr>
        <w:tblW w:w="5000" w:type="pct"/>
        <w:tblInd w:w="0" w:type="dxa"/>
        <w:tblLayout w:type="autofit"/>
        <w:tblCellMar>
          <w:top w:w="0" w:type="dxa"/>
          <w:left w:w="108" w:type="dxa"/>
          <w:bottom w:w="0" w:type="dxa"/>
          <w:right w:w="108"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1990"/>
        <w:gridCol w:w="1701"/>
        <w:gridCol w:w="2550"/>
        <w:gridCol w:w="2615"/>
      </w:tblGrid>
      <w:tr w14:paraId="572F61D6">
        <w:tblPrEx>
          <w:tblCellMar>
            <w:top w:w="0" w:type="dxa"/>
            <w:left w:w="108" w:type="dxa"/>
            <w:bottom w:w="0" w:type="dxa"/>
            <w:right w:w="108" w:type="dxa"/>
          </w:tblCellMar>
        </w:tblPrEx>
        <w:trPr>
          <w:tblHeader/>
        </w:trP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2E3FC7E2">
            <w:pPr>
              <w:pStyle w:val="24"/>
              <w:spacing w:before="0" w:after="0"/>
              <w:jc w:val="center"/>
              <w:rPr>
                <w:b/>
                <w:bCs/>
                <w:color w:val="auto"/>
              </w:rPr>
            </w:pPr>
            <w:r>
              <w:rPr>
                <w:b/>
                <w:bCs/>
                <w:color w:val="FFFFFF"/>
                <w:sz w:val="20"/>
              </w:rPr>
              <w:t>Dataset / Fuente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704DC894">
            <w:pPr>
              <w:pStyle w:val="24"/>
              <w:spacing w:before="0" w:after="0"/>
              <w:jc w:val="center"/>
              <w:rPr>
                <w:b/>
                <w:bCs/>
                <w:color w:val="auto"/>
              </w:rPr>
            </w:pPr>
            <w:r>
              <w:rPr>
                <w:b/>
                <w:bCs/>
                <w:color w:val="FFFFFF"/>
                <w:sz w:val="20"/>
              </w:rPr>
              <w:t>Tipo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0EC8C23B">
            <w:pPr>
              <w:pStyle w:val="24"/>
              <w:spacing w:before="0" w:after="0"/>
              <w:jc w:val="center"/>
              <w:rPr>
                <w:b/>
                <w:bCs/>
                <w:color w:val="auto"/>
              </w:rPr>
            </w:pPr>
            <w:r>
              <w:rPr>
                <w:b/>
                <w:bCs/>
                <w:color w:val="FFFFFF"/>
                <w:sz w:val="20"/>
              </w:rPr>
              <w:t>Uso en el proyecto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4E9558E1">
            <w:pPr>
              <w:pStyle w:val="24"/>
              <w:spacing w:before="0" w:after="0"/>
              <w:jc w:val="center"/>
              <w:rPr>
                <w:b/>
                <w:bCs/>
                <w:color w:val="auto"/>
              </w:rPr>
            </w:pPr>
            <w:r>
              <w:rPr>
                <w:b/>
                <w:bCs/>
                <w:color w:val="FFFFFF"/>
                <w:sz w:val="20"/>
              </w:rPr>
              <w:t>Acceso</w:t>
            </w:r>
          </w:p>
        </w:tc>
      </w:tr>
      <w:tr w14:paraId="274CB876">
        <w:tblPrEx>
          <w:tblCellMar>
            <w:top w:w="0" w:type="dxa"/>
            <w:left w:w="108" w:type="dxa"/>
            <w:bottom w:w="0" w:type="dxa"/>
            <w:right w:w="108" w:type="dxa"/>
          </w:tblCellMar>
        </w:tblPrEx>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45EBCD2B">
            <w:pPr>
              <w:pStyle w:val="24"/>
              <w:spacing w:before="0" w:after="0"/>
              <w:jc w:val="center"/>
            </w:pPr>
            <w:r>
              <w:rPr>
                <w:color w:val="000000"/>
                <w:sz w:val="20"/>
              </w:rPr>
              <w:t>Sentinel-2 MSI L2A (ESA)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42B4D6BC">
            <w:pPr>
              <w:pStyle w:val="24"/>
              <w:spacing w:before="0" w:after="0"/>
              <w:jc w:val="center"/>
            </w:pPr>
            <w:r>
              <w:rPr>
                <w:color w:val="000000"/>
                <w:sz w:val="20"/>
              </w:rPr>
              <w:t>789 imágenes (2018-2025)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04F70015">
            <w:pPr>
              <w:pStyle w:val="24"/>
              <w:spacing w:before="0" w:after="0"/>
              <w:jc w:val="center"/>
            </w:pPr>
            <w:r>
              <w:rPr>
                <w:color w:val="000000"/>
                <w:sz w:val="20"/>
              </w:rPr>
              <w:t>Índices espectrales y RGB para SamGeo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6D28F12F">
            <w:pPr>
              <w:pStyle w:val="24"/>
              <w:spacing w:before="0" w:after="0"/>
              <w:jc w:val="center"/>
            </w:pPr>
            <w:r>
              <w:rPr>
                <w:color w:val="000000"/>
                <w:sz w:val="20"/>
              </w:rPr>
              <w:t>GEE · S2_SR_ HARMONIZED</w:t>
            </w:r>
          </w:p>
        </w:tc>
      </w:tr>
      <w:tr w14:paraId="29652E53">
        <w:tblPrEx>
          <w:tblCellMar>
            <w:top w:w="0" w:type="dxa"/>
            <w:left w:w="108" w:type="dxa"/>
            <w:bottom w:w="0" w:type="dxa"/>
            <w:right w:w="108" w:type="dxa"/>
          </w:tblCellMar>
        </w:tblPrEx>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6F9E5317">
            <w:pPr>
              <w:pStyle w:val="24"/>
              <w:spacing w:before="0" w:after="0"/>
              <w:jc w:val="center"/>
            </w:pPr>
            <w:r>
              <w:rPr>
                <w:color w:val="000000"/>
                <w:sz w:val="20"/>
              </w:rPr>
              <w:t>Landsat 8 OLI (USGS)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666310F9">
            <w:pPr>
              <w:pStyle w:val="24"/>
              <w:spacing w:before="0" w:after="0"/>
              <w:jc w:val="center"/>
            </w:pPr>
            <w:r>
              <w:rPr>
                <w:color w:val="000000"/>
                <w:sz w:val="20"/>
              </w:rPr>
              <w:t>345 registros (2013-2017)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036B5343">
            <w:pPr>
              <w:pStyle w:val="24"/>
              <w:spacing w:before="0" w:after="0"/>
              <w:jc w:val="center"/>
            </w:pPr>
            <w:r>
              <w:rPr>
                <w:color w:val="000000"/>
                <w:sz w:val="20"/>
              </w:rPr>
              <w:t>Serie histórica NDVI complementaria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12995C9E">
            <w:pPr>
              <w:pStyle w:val="24"/>
              <w:spacing w:before="0" w:after="0"/>
              <w:jc w:val="center"/>
            </w:pPr>
            <w:r>
              <w:rPr>
                <w:color w:val="000000"/>
                <w:sz w:val="20"/>
              </w:rPr>
              <w:t>GEE · LC08/ C02/T1_L2</w:t>
            </w:r>
          </w:p>
        </w:tc>
      </w:tr>
      <w:tr w14:paraId="6D3601CA">
        <w:tblPrEx>
          <w:tblCellMar>
            <w:top w:w="0" w:type="dxa"/>
            <w:left w:w="108" w:type="dxa"/>
            <w:bottom w:w="0" w:type="dxa"/>
            <w:right w:w="108" w:type="dxa"/>
          </w:tblCellMar>
        </w:tblPrEx>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5F58726F">
            <w:pPr>
              <w:pStyle w:val="24"/>
              <w:spacing w:before="0" w:after="0"/>
              <w:jc w:val="center"/>
            </w:pPr>
            <w:r>
              <w:rPr>
                <w:color w:val="000000"/>
                <w:sz w:val="20"/>
              </w:rPr>
              <w:t>Sentinel-1 SAR (ESA)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5CDB4103">
            <w:pPr>
              <w:pStyle w:val="24"/>
              <w:spacing w:before="0" w:after="0"/>
              <w:jc w:val="center"/>
            </w:pPr>
            <w:r>
              <w:rPr>
                <w:color w:val="000000"/>
                <w:sz w:val="20"/>
              </w:rPr>
              <w:t>85 imágenes (2020)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01C191AA">
            <w:pPr>
              <w:pStyle w:val="24"/>
              <w:spacing w:before="0" w:after="0"/>
              <w:jc w:val="center"/>
            </w:pPr>
            <w:r>
              <w:rPr>
                <w:color w:val="000000"/>
                <w:sz w:val="20"/>
              </w:rPr>
              <w:t>Detección de inundación bajo dosel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06BB408D">
            <w:pPr>
              <w:pStyle w:val="24"/>
              <w:spacing w:before="0" w:after="0"/>
              <w:jc w:val="center"/>
            </w:pPr>
            <w:r>
              <w:rPr>
                <w:color w:val="000000"/>
                <w:sz w:val="20"/>
              </w:rPr>
              <w:t>GEE · S1_GRD</w:t>
            </w:r>
          </w:p>
        </w:tc>
      </w:tr>
      <w:tr w14:paraId="140E79A0">
        <w:tblPrEx>
          <w:tblCellMar>
            <w:top w:w="0" w:type="dxa"/>
            <w:left w:w="108" w:type="dxa"/>
            <w:bottom w:w="0" w:type="dxa"/>
            <w:right w:w="108" w:type="dxa"/>
          </w:tblCellMar>
        </w:tblPrEx>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35087F70">
            <w:pPr>
              <w:pStyle w:val="24"/>
              <w:spacing w:before="0" w:after="0"/>
              <w:jc w:val="center"/>
            </w:pPr>
            <w:r>
              <w:rPr>
                <w:color w:val="000000"/>
                <w:sz w:val="20"/>
              </w:rPr>
              <w:t>Global Flood Database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0E9C8C81">
            <w:pPr>
              <w:pStyle w:val="24"/>
              <w:spacing w:before="0" w:after="0"/>
              <w:jc w:val="center"/>
            </w:pPr>
            <w:r>
              <w:rPr>
                <w:color w:val="000000"/>
                <w:sz w:val="20"/>
              </w:rPr>
              <w:t>16 eventos (2001-2017)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2F13F24C">
            <w:pPr>
              <w:pStyle w:val="24"/>
              <w:spacing w:before="0" w:after="0"/>
              <w:jc w:val="center"/>
            </w:pPr>
            <w:r>
              <w:rPr>
                <w:color w:val="000000"/>
                <w:sz w:val="20"/>
              </w:rPr>
              <w:t>Registro histórico de inundaciones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6206ECF4">
            <w:pPr>
              <w:pStyle w:val="24"/>
              <w:spacing w:before="0" w:after="0"/>
              <w:jc w:val="center"/>
            </w:pPr>
            <w:r>
              <w:rPr>
                <w:color w:val="000000"/>
                <w:sz w:val="20"/>
              </w:rPr>
              <w:t>GEE · GLOBAL_ FLOOD_DB</w:t>
            </w:r>
          </w:p>
        </w:tc>
      </w:tr>
      <w:tr w14:paraId="7433E3A3">
        <w:tblPrEx>
          <w:tblCellMar>
            <w:top w:w="0" w:type="dxa"/>
            <w:left w:w="108" w:type="dxa"/>
            <w:bottom w:w="0" w:type="dxa"/>
            <w:right w:w="108" w:type="dxa"/>
          </w:tblCellMar>
        </w:tblPrEx>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66FD7167">
            <w:pPr>
              <w:pStyle w:val="24"/>
              <w:spacing w:before="0" w:after="0"/>
              <w:jc w:val="center"/>
            </w:pPr>
            <w:r>
              <w:rPr>
                <w:color w:val="000000"/>
                <w:sz w:val="20"/>
              </w:rPr>
              <w:t>JRC Global Surface Water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0A1B88C3">
            <w:pPr>
              <w:pStyle w:val="24"/>
              <w:spacing w:before="0" w:after="0"/>
              <w:jc w:val="center"/>
            </w:pPr>
            <w:r>
              <w:rPr>
                <w:color w:val="000000"/>
                <w:sz w:val="20"/>
              </w:rPr>
              <w:t>Raster global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3BDCE847">
            <w:pPr>
              <w:pStyle w:val="24"/>
              <w:spacing w:before="0" w:after="0"/>
              <w:jc w:val="center"/>
            </w:pPr>
            <w:r>
              <w:rPr>
                <w:color w:val="000000"/>
                <w:sz w:val="20"/>
              </w:rPr>
              <w:t>Transiciones y estacionalidad hídrica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4A39C1C1">
            <w:pPr>
              <w:pStyle w:val="24"/>
              <w:spacing w:before="0" w:after="0"/>
              <w:jc w:val="center"/>
            </w:pPr>
            <w:r>
              <w:rPr>
                <w:color w:val="000000"/>
                <w:sz w:val="20"/>
              </w:rPr>
              <w:t>GEE · JRC/ GSW1_4</w:t>
            </w:r>
          </w:p>
        </w:tc>
      </w:tr>
      <w:tr w14:paraId="435205F5">
        <w:tblPrEx>
          <w:tblCellMar>
            <w:top w:w="0" w:type="dxa"/>
            <w:left w:w="108" w:type="dxa"/>
            <w:bottom w:w="0" w:type="dxa"/>
            <w:right w:w="108" w:type="dxa"/>
          </w:tblCellMar>
        </w:tblPrEx>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6EB74526">
            <w:pPr>
              <w:pStyle w:val="24"/>
              <w:spacing w:before="0" w:after="0"/>
              <w:jc w:val="center"/>
            </w:pPr>
            <w:r>
              <w:rPr>
                <w:color w:val="000000"/>
                <w:sz w:val="20"/>
              </w:rPr>
              <w:t>SRTM v3 (NASA)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11CFE29D">
            <w:pPr>
              <w:pStyle w:val="24"/>
              <w:spacing w:before="0" w:after="0"/>
              <w:jc w:val="center"/>
            </w:pPr>
            <w:r>
              <w:rPr>
                <w:color w:val="000000"/>
                <w:sz w:val="20"/>
              </w:rPr>
              <w:t>DEM 30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06C4CEB3">
            <w:pPr>
              <w:pStyle w:val="24"/>
              <w:spacing w:before="0" w:after="0"/>
              <w:jc w:val="center"/>
            </w:pPr>
            <w:r>
              <w:rPr>
                <w:color w:val="000000"/>
                <w:sz w:val="20"/>
              </w:rPr>
              <w:t>Restricción de elevación (&lt; 10 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088DCF3E">
            <w:pPr>
              <w:pStyle w:val="24"/>
              <w:spacing w:before="0" w:after="0"/>
              <w:jc w:val="center"/>
            </w:pPr>
            <w:r>
              <w:rPr>
                <w:color w:val="000000"/>
                <w:sz w:val="20"/>
              </w:rPr>
              <w:t>GEE · SRTMGL1_003</w:t>
            </w:r>
          </w:p>
        </w:tc>
      </w:tr>
      <w:tr w14:paraId="030D5C7F">
        <w:tblPrEx>
          <w:tblCellMar>
            <w:top w:w="0" w:type="dxa"/>
            <w:left w:w="108" w:type="dxa"/>
            <w:bottom w:w="0" w:type="dxa"/>
            <w:right w:w="108" w:type="dxa"/>
          </w:tblCellMar>
        </w:tblPrEx>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2301CCDC">
            <w:pPr>
              <w:pStyle w:val="24"/>
              <w:spacing w:before="0" w:after="0"/>
              <w:jc w:val="center"/>
            </w:pPr>
            <w:r>
              <w:rPr>
                <w:color w:val="000000"/>
                <w:sz w:val="20"/>
              </w:rPr>
              <w:t>Monitoreo manglar INVEMAR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4411132C">
            <w:pPr>
              <w:pStyle w:val="24"/>
              <w:spacing w:before="0" w:after="0"/>
              <w:jc w:val="center"/>
            </w:pPr>
            <w:r>
              <w:rPr>
                <w:color w:val="000000"/>
                <w:sz w:val="20"/>
              </w:rPr>
              <w:t>376 registros (2013-2019)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6CF1634E">
            <w:pPr>
              <w:pStyle w:val="24"/>
              <w:spacing w:before="0" w:after="0"/>
              <w:jc w:val="center"/>
            </w:pPr>
            <w:r>
              <w:rPr>
                <w:color w:val="000000"/>
                <w:sz w:val="20"/>
              </w:rPr>
              <w:t>Coordenadas estaciones de muestreo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6DFB2EFF">
            <w:pPr>
              <w:pStyle w:val="24"/>
              <w:spacing w:before="0" w:after="0"/>
              <w:jc w:val="center"/>
            </w:pPr>
            <w:r>
              <w:rPr>
                <w:color w:val="000000"/>
                <w:sz w:val="20"/>
              </w:rPr>
              <w:t>GBIF · 10.15472/ 0fqdp4</w:t>
            </w:r>
          </w:p>
        </w:tc>
      </w:tr>
      <w:tr w14:paraId="1B70A583">
        <w:tblPrEx>
          <w:tblCellMar>
            <w:top w:w="0" w:type="dxa"/>
            <w:left w:w="108" w:type="dxa"/>
            <w:bottom w:w="0" w:type="dxa"/>
            <w:right w:w="108" w:type="dxa"/>
          </w:tblCellMar>
        </w:tblPrEx>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61378B63">
            <w:pPr>
              <w:pStyle w:val="24"/>
              <w:spacing w:before="0" w:after="0"/>
              <w:jc w:val="center"/>
            </w:pPr>
            <w:r>
              <w:rPr>
                <w:color w:val="000000"/>
                <w:sz w:val="20"/>
              </w:rPr>
              <w:t>Global Mangrove Watch v4.0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4D5C9BBA">
            <w:pPr>
              <w:pStyle w:val="24"/>
              <w:spacing w:before="0" w:after="0"/>
              <w:jc w:val="center"/>
            </w:pPr>
            <w:r>
              <w:rPr>
                <w:color w:val="000000"/>
                <w:sz w:val="20"/>
              </w:rPr>
              <w:t>Raster (2020)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4775D078">
            <w:pPr>
              <w:pStyle w:val="24"/>
              <w:spacing w:before="0" w:after="0"/>
              <w:jc w:val="center"/>
            </w:pPr>
            <w:r>
              <w:rPr>
                <w:color w:val="000000"/>
                <w:sz w:val="20"/>
              </w:rPr>
              <w:t>Validación de clasificación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14:paraId="37AA0199">
            <w:pPr>
              <w:pStyle w:val="24"/>
              <w:spacing w:before="0" w:after="0"/>
              <w:jc w:val="center"/>
            </w:pPr>
            <w:r>
              <w:rPr>
                <w:color w:val="000000"/>
                <w:sz w:val="20"/>
              </w:rPr>
              <w:t>GEE · sat-io/GMW</w:t>
            </w:r>
          </w:p>
        </w:tc>
      </w:tr>
      <w:bookmarkEnd w:id="9"/>
    </w:tbl>
    <w:p w14:paraId="2BC36F38">
      <w:pPr>
        <w:pStyle w:val="3"/>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 </w:t>
      </w:r>
      <w:r>
        <w:rPr>
          <w:i/>
          <w:iCs/>
          <w:color w:val="000000"/>
        </w:rPr>
        <w:t>Segment Anything Model</w:t>
      </w:r>
      <w:r>
        <w:rPr>
          <w:color w:val="000000"/>
        </w:rPr>
        <w:t xml:space="preserve"> 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8"/>
    <w:p w14:paraId="64593A0E">
      <w:pPr>
        <w:pStyle w:val="2"/>
      </w:pPr>
      <w:bookmarkStart w:id="10" w:name="metodología-y-código"/>
      <w:r>
        <w:rPr>
          <w:color w:val="000000"/>
        </w:rPr>
        <w:t>7. Metodología y código</w:t>
      </w:r>
    </w:p>
    <w:p w14:paraId="05ED81F1">
      <w:pPr>
        <w:pStyle w:val="23"/>
      </w:pPr>
      <w:r>
        <w:rPr>
          <w:color w:val="000000"/>
        </w:rPr>
        <w:t>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p w14:paraId="6E5E6911">
      <w:pPr>
        <w:pStyle w:val="4"/>
      </w:pPr>
      <w:bookmarkStart w:id="11" w:name="X285332d77872a180b13da5d229caf392fa44ba5"/>
      <w:r>
        <w:rPr>
          <w:color w:val="000000"/>
        </w:rPr>
        <w:t>7.1 Distribución multilingüe de responsabilidades</w:t>
      </w:r>
    </w:p>
    <w:p w14:paraId="7BD60C6E">
      <w:pPr>
        <w:pStyle w:val="23"/>
      </w:pPr>
      <w:r>
        <w:rPr>
          <w:color w:val="000000"/>
        </w:rPr>
        <w:t xml:space="preserve">La arquitectura distribuye las tareas entre los tres lenguajes del curso según la conveniencia disciplinar de cada fase y no como mera coexistencia obligatoria. </w:t>
      </w:r>
      <w:r>
        <w:rPr>
          <w:b/>
          <w:bCs/>
          <w:color w:val="000000"/>
        </w:rPr>
        <w:t>Python</w:t>
      </w:r>
      <w:r>
        <w:rPr>
          <w:color w:val="000000"/>
        </w:rPr>
        <w:t xml:space="preserve"> sustenta la adquisición en Google Earth Engine, la segmentación con SamGeo, los datacubes con </w:t>
      </w:r>
      <w:r>
        <w:rPr>
          <w:rStyle w:val="36"/>
          <w:color w:val="000000"/>
        </w:rPr>
        <w:t>xarray</w:t>
      </w:r>
      <w:r>
        <w:rPr>
          <w:color w:val="000000"/>
        </w:rPr>
        <w:t xml:space="preserve">, el clasificador Random Forest y el dashboard. </w:t>
      </w:r>
      <w:r>
        <w:rPr>
          <w:b/>
          <w:bCs/>
          <w:color w:val="000000"/>
        </w:rPr>
        <w:t>R</w:t>
      </w:r>
      <w:r>
        <w:rPr>
          <w:color w:val="000000"/>
        </w:rPr>
        <w:t xml:space="preserve"> se reserva para los quiebres bfast sobre las series NDVI, el cubo </w:t>
      </w:r>
      <w:r>
        <w:rPr>
          <w:rStyle w:val="36"/>
          <w:color w:val="000000"/>
        </w:rPr>
        <w:t>stars</w:t>
      </w:r>
      <w:r>
        <w:rPr>
          <w:color w:val="000000"/>
        </w:rPr>
        <w:t xml:space="preserve"> y las réplicas estadísticas de ENSO y caudal IDEAM con </w:t>
      </w:r>
      <w:r>
        <w:rPr>
          <w:rStyle w:val="36"/>
          <w:color w:val="000000"/>
        </w:rPr>
        <w:t>tidyverse</w:t>
      </w:r>
      <w:r>
        <w:rPr>
          <w:color w:val="000000"/>
        </w:rPr>
        <w:t xml:space="preserve">. </w:t>
      </w:r>
      <w:r>
        <w:rPr>
          <w:b/>
          <w:bCs/>
          <w:color w:val="000000"/>
        </w:rPr>
        <w:t>Julia</w:t>
      </w:r>
      <w:r>
        <w:rPr>
          <w:color w:val="000000"/>
        </w:rPr>
        <w:t xml:space="preserve"> ejecuta el cómputo geométrico sobre miles de polígonos: fragmentación (NP, MSI, NND), área en EPSG:9377 con </w:t>
      </w:r>
      <w:r>
        <w:rPr>
          <w:rStyle w:val="36"/>
          <w:color w:val="000000"/>
        </w:rPr>
        <w:t>shoelace</w:t>
      </w:r>
      <w:r>
        <w:rPr>
          <w:color w:val="000000"/>
        </w:rPr>
        <w:t xml:space="preserve"> y predicados DE-9IM con </w:t>
      </w:r>
      <w:r>
        <w:rPr>
          <w:rStyle w:val="36"/>
          <w:color w:val="000000"/>
        </w:rPr>
        <w:t>LibGEOS.jl</w:t>
      </w:r>
      <w:r>
        <w:rPr>
          <w:color w:val="000000"/>
        </w:rPr>
        <w:t>. La equivalencia operativa entre los tres lenguajes se demuestra mediante cuatro validaciones cruzadas documentadas en la sección homónima de Resultados.</w:t>
      </w:r>
    </w:p>
    <w:tbl>
      <w:tblPr>
        <w:tblW w:w="5000" w:type="pct"/>
        <w:tblInd w:w="0" w:type="dxa"/>
        <w:tblLayout w:type="autofit"/>
        <w:tblCellMar>
          <w:top w:w="0" w:type="dxa"/>
          <w:left w:w="10" w:type="dxa"/>
          <w:bottom w:w="0" w:type="dxa"/>
          <w:right w:w="1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0C6C03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4D7E381F">
            <w:pPr>
              <w:pStyle w:val="33"/>
              <w:spacing w:before="0" w:after="0"/>
              <w:jc w:val="left"/>
            </w:pPr>
            <w:bookmarkStart w:id="12" w:name="tbl-lenguajes"/>
            <w:r>
              <w:rPr>
                <w:b/>
                <w:color w:val="FFFFFF"/>
                <w:sz w:val="20"/>
              </w:rPr>
              <w:t>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29"/>
              <w:tblW w:w="5000" w:type="pct"/>
              <w:tblInd w:w="0" w:type="dxa"/>
              <w:tblLayout w:type="autofit"/>
              <w:tblCellMar>
                <w:top w:w="0" w:type="dxa"/>
                <w:left w:w="108" w:type="dxa"/>
                <w:bottom w:w="0" w:type="dxa"/>
                <w:right w:w="108" w:type="dxa"/>
              </w:tblCellMar>
            </w:tblPr>
            <w:tblGrid>
              <w:gridCol w:w="1035"/>
              <w:gridCol w:w="1777"/>
              <w:gridCol w:w="1905"/>
              <w:gridCol w:w="3923"/>
            </w:tblGrid>
            <w:tr w14:paraId="152EE7F5">
              <w:tblPrEx>
                <w:tblCellMar>
                  <w:top w:w="0" w:type="dxa"/>
                  <w:left w:w="108" w:type="dxa"/>
                  <w:bottom w:w="0" w:type="dxa"/>
                  <w:right w:w="108" w:type="dxa"/>
                </w:tblCellMar>
              </w:tblPrEx>
              <w:trPr>
                <w:tblHeader/>
              </w:trPr>
              <w:tc>
                <w:p w14:paraId="3B1A7155">
                  <w:pPr>
                    <w:pStyle w:val="24"/>
                    <w:jc w:val="center"/>
                  </w:pPr>
                  <w:r>
                    <w:t>Lenguaje</w:t>
                  </w:r>
                </w:p>
              </w:tc>
              <w:tc>
                <w:p w14:paraId="38FC2196">
                  <w:pPr>
                    <w:pStyle w:val="24"/>
                    <w:jc w:val="center"/>
                  </w:pPr>
                  <w:r>
                    <w:t>Función técnica</w:t>
                  </w:r>
                </w:p>
              </w:tc>
              <w:tc>
                <w:p w14:paraId="70087FFD">
                  <w:pPr>
                    <w:pStyle w:val="24"/>
                    <w:jc w:val="center"/>
                  </w:pPr>
                  <w:r>
                    <w:t>Librerías clave</w:t>
                  </w:r>
                </w:p>
              </w:tc>
              <w:tc>
                <w:p w14:paraId="06F8ECBE">
                  <w:pPr>
                    <w:pStyle w:val="24"/>
                    <w:jc w:val="center"/>
                  </w:pPr>
                  <w:r>
                    <w:t>Notebooks / scripts principales</w:t>
                  </w:r>
                </w:p>
              </w:tc>
            </w:tr>
            <w:tr w14:paraId="5B0BD230">
              <w:tblPrEx>
                <w:tblCellMar>
                  <w:top w:w="0" w:type="dxa"/>
                  <w:left w:w="108" w:type="dxa"/>
                  <w:bottom w:w="0" w:type="dxa"/>
                  <w:right w:w="108" w:type="dxa"/>
                </w:tblCellMar>
              </w:tblPrEx>
              <w:tc>
                <w:p w14:paraId="000C1996">
                  <w:pPr>
                    <w:pStyle w:val="24"/>
                    <w:jc w:val="center"/>
                  </w:pPr>
                  <w:r>
                    <w:rPr>
                      <w:b/>
                      <w:bCs/>
                    </w:rPr>
                    <w:t>Python</w:t>
                  </w:r>
                </w:p>
              </w:tc>
              <w:tc>
                <w:p w14:paraId="31461FF4">
                  <w:pPr>
                    <w:pStyle w:val="24"/>
                    <w:jc w:val="center"/>
                  </w:pPr>
                  <w:r>
                    <w:t>Adquisición GEE, segmentación SAM, Random Forest, datacubes, dashboard</w:t>
                  </w:r>
                </w:p>
              </w:tc>
              <w:tc>
                <w:p w14:paraId="4AE4A208">
                  <w:pPr>
                    <w:pStyle w:val="24"/>
                    <w:jc w:val="center"/>
                  </w:pPr>
                  <w:r>
                    <w:rPr>
                      <w:rStyle w:val="36"/>
                    </w:rPr>
                    <w:t>geemap</w:t>
                  </w:r>
                  <w:r>
                    <w:t xml:space="preserve">, </w:t>
                  </w:r>
                  <w:r>
                    <w:rPr>
                      <w:rStyle w:val="36"/>
                    </w:rPr>
                    <w:t>samgeo</w:t>
                  </w:r>
                  <w:r>
                    <w:t xml:space="preserve">, </w:t>
                  </w:r>
                  <w:r>
                    <w:rPr>
                      <w:rStyle w:val="36"/>
                    </w:rPr>
                    <w:t>xarray</w:t>
                  </w:r>
                  <w:r>
                    <w:t xml:space="preserve">, </w:t>
                  </w:r>
                  <w:r>
                    <w:rPr>
                      <w:rStyle w:val="36"/>
                    </w:rPr>
                    <w:t>rioxarray</w:t>
                  </w:r>
                  <w:r>
                    <w:t xml:space="preserve">, </w:t>
                  </w:r>
                  <w:r>
                    <w:rPr>
                      <w:rStyle w:val="36"/>
                    </w:rPr>
                    <w:t>rasterio</w:t>
                  </w:r>
                  <w:r>
                    <w:t xml:space="preserve">, </w:t>
                  </w:r>
                  <w:r>
                    <w:rPr>
                      <w:rStyle w:val="36"/>
                    </w:rPr>
                    <w:t>geopandas</w:t>
                  </w:r>
                  <w:r>
                    <w:t xml:space="preserve">, </w:t>
                  </w:r>
                  <w:r>
                    <w:rPr>
                      <w:rStyle w:val="36"/>
                    </w:rPr>
                    <w:t>folium</w:t>
                  </w:r>
                  <w:r>
                    <w:t xml:space="preserve">, </w:t>
                  </w:r>
                  <w:r>
                    <w:rPr>
                      <w:rStyle w:val="36"/>
                    </w:rPr>
                    <w:t>cdsapi</w:t>
                  </w:r>
                </w:p>
              </w:tc>
              <w:tc>
                <w:p w14:paraId="11E78F76">
                  <w:pPr>
                    <w:pStyle w:val="24"/>
                    <w:jc w:val="center"/>
                  </w:pPr>
                  <w:r>
                    <w:rPr>
                      <w:rStyle w:val="36"/>
                    </w:rPr>
                    <w:t>01_gee_acquisition</w:t>
                  </w:r>
                  <w:r>
                    <w:t xml:space="preserve">, </w:t>
                  </w:r>
                  <w:r>
                    <w:rPr>
                      <w:rStyle w:val="36"/>
                    </w:rPr>
                    <w:t>02_time_series</w:t>
                  </w:r>
                  <w:r>
                    <w:t xml:space="preserve">, </w:t>
                  </w:r>
                  <w:r>
                    <w:rPr>
                      <w:rStyle w:val="36"/>
                    </w:rPr>
                    <w:t>03_segmentation_acotado</w:t>
                  </w:r>
                  <w:r>
                    <w:t xml:space="preserve">, </w:t>
                  </w:r>
                  <w:r>
                    <w:rPr>
                      <w:rStyle w:val="36"/>
                    </w:rPr>
                    <w:t>05_flooding_nasa_acotado</w:t>
                  </w:r>
                  <w:r>
                    <w:t xml:space="preserve">, </w:t>
                  </w:r>
                  <w:r>
                    <w:rPr>
                      <w:rStyle w:val="36"/>
                    </w:rPr>
                    <w:t>07_era5_clima</w:t>
                  </w:r>
                  <w:r>
                    <w:t xml:space="preserve">, </w:t>
                  </w:r>
                  <w:r>
                    <w:rPr>
                      <w:rStyle w:val="36"/>
                    </w:rPr>
                    <w:t>11_random_forest_benchmark</w:t>
                  </w:r>
                  <w:r>
                    <w:t xml:space="preserve">, </w:t>
                  </w:r>
                  <w:r>
                    <w:rPr>
                      <w:rStyle w:val="36"/>
                    </w:rPr>
                    <w:t>12_sentinel1_sar_serie</w:t>
                  </w:r>
                </w:p>
              </w:tc>
            </w:tr>
            <w:tr w14:paraId="6AEFD6EE">
              <w:tblPrEx>
                <w:tblCellMar>
                  <w:top w:w="0" w:type="dxa"/>
                  <w:left w:w="108" w:type="dxa"/>
                  <w:bottom w:w="0" w:type="dxa"/>
                  <w:right w:w="108" w:type="dxa"/>
                </w:tblCellMar>
              </w:tblPrEx>
              <w:tc>
                <w:p w14:paraId="71120281">
                  <w:pPr>
                    <w:pStyle w:val="24"/>
                    <w:jc w:val="center"/>
                  </w:pPr>
                  <w:r>
                    <w:rPr>
                      <w:b/>
                      <w:bCs/>
                    </w:rPr>
                    <w:t>R</w:t>
                  </w:r>
                </w:p>
              </w:tc>
              <w:tc>
                <w:p w14:paraId="64562678">
                  <w:pPr>
                    <w:pStyle w:val="24"/>
                    <w:jc w:val="center"/>
                  </w:pPr>
                  <w:r>
                    <w:t>Detección de quiebres bfast, cubo stars, réplicas estadísticas</w:t>
                  </w:r>
                </w:p>
              </w:tc>
              <w:tc>
                <w:p w14:paraId="73D9A520">
                  <w:pPr>
                    <w:pStyle w:val="24"/>
                    <w:jc w:val="center"/>
                  </w:pPr>
                  <w:r>
                    <w:rPr>
                      <w:rStyle w:val="36"/>
                    </w:rPr>
                    <w:t>bfast</w:t>
                  </w:r>
                  <w:r>
                    <w:t xml:space="preserve">, </w:t>
                  </w:r>
                  <w:r>
                    <w:rPr>
                      <w:rStyle w:val="36"/>
                    </w:rPr>
                    <w:t>stars</w:t>
                  </w:r>
                  <w:r>
                    <w:t xml:space="preserve">, </w:t>
                  </w:r>
                  <w:r>
                    <w:rPr>
                      <w:rStyle w:val="36"/>
                    </w:rPr>
                    <w:t>sf</w:t>
                  </w:r>
                  <w:r>
                    <w:t xml:space="preserve">, </w:t>
                  </w:r>
                  <w:r>
                    <w:rPr>
                      <w:rStyle w:val="36"/>
                    </w:rPr>
                    <w:t>terra</w:t>
                  </w:r>
                  <w:r>
                    <w:t xml:space="preserve">, </w:t>
                  </w:r>
                  <w:r>
                    <w:rPr>
                      <w:rStyle w:val="36"/>
                    </w:rPr>
                    <w:t>tidyverse</w:t>
                  </w:r>
                </w:p>
              </w:tc>
              <w:tc>
                <w:p w14:paraId="0ED0D375">
                  <w:pPr>
                    <w:pStyle w:val="24"/>
                    <w:jc w:val="center"/>
                  </w:pPr>
                  <w:r>
                    <w:rPr>
                      <w:rStyle w:val="36"/>
                    </w:rPr>
                    <w:t>src/R/03_bfast_ndvi.R</w:t>
                  </w:r>
                  <w:r>
                    <w:t xml:space="preserve">, </w:t>
                  </w:r>
                  <w:r>
                    <w:rPr>
                      <w:rStyle w:val="36"/>
                    </w:rPr>
                    <w:t>src/R/05_stars_cubo.R</w:t>
                  </w:r>
                  <w:r>
                    <w:t xml:space="preserve">, </w:t>
                  </w:r>
                  <w:r>
                    <w:rPr>
                      <w:rStyle w:val="36"/>
                    </w:rPr>
                    <w:t>notebooks/02b_bfast_ndvi.R</w:t>
                  </w:r>
                  <w:r>
                    <w:t xml:space="preserve">, </w:t>
                  </w:r>
                  <w:r>
                    <w:rPr>
                      <w:rStyle w:val="36"/>
                    </w:rPr>
                    <w:t>11b_indices_enso_noaa_R</w:t>
                  </w:r>
                  <w:r>
                    <w:t xml:space="preserve">, </w:t>
                  </w:r>
                  <w:r>
                    <w:rPr>
                      <w:rStyle w:val="36"/>
                    </w:rPr>
                    <w:t>12c_caudal_ideam_R</w:t>
                  </w:r>
                </w:p>
              </w:tc>
            </w:tr>
            <w:tr w14:paraId="0E71DB4C">
              <w:tblPrEx>
                <w:tblCellMar>
                  <w:top w:w="0" w:type="dxa"/>
                  <w:left w:w="108" w:type="dxa"/>
                  <w:bottom w:w="0" w:type="dxa"/>
                  <w:right w:w="108" w:type="dxa"/>
                </w:tblCellMar>
              </w:tblPrEx>
              <w:tc>
                <w:p w14:paraId="4FC9BB16">
                  <w:pPr>
                    <w:pStyle w:val="24"/>
                    <w:jc w:val="center"/>
                  </w:pPr>
                  <w:r>
                    <w:rPr>
                      <w:b/>
                      <w:bCs/>
                    </w:rPr>
                    <w:t>Julia</w:t>
                  </w:r>
                </w:p>
              </w:tc>
              <w:tc>
                <w:p w14:paraId="4E854F33">
                  <w:pPr>
                    <w:pStyle w:val="24"/>
                    <w:jc w:val="center"/>
                  </w:pPr>
                  <w:r>
                    <w:t>Métricas de fragmentación, topología DE-9IM (Dimensionally Extended 9-Intersection Model, modelo formal que clasifica relaciones espaciales entre geometrías como intersección, contención o disjunción), cómputo geométrico</w:t>
                  </w:r>
                </w:p>
              </w:tc>
              <w:tc>
                <w:p w14:paraId="268DA88A">
                  <w:pPr>
                    <w:pStyle w:val="24"/>
                    <w:jc w:val="center"/>
                  </w:pPr>
                  <w:r>
                    <w:rPr>
                      <w:rStyle w:val="36"/>
                    </w:rPr>
                    <w:t>GeoJSON.jl</w:t>
                  </w:r>
                  <w:r>
                    <w:t xml:space="preserve">, </w:t>
                  </w:r>
                  <w:r>
                    <w:rPr>
                      <w:rStyle w:val="36"/>
                    </w:rPr>
                    <w:t>DataFrames.jl</w:t>
                  </w:r>
                  <w:r>
                    <w:t xml:space="preserve">, </w:t>
                  </w:r>
                  <w:r>
                    <w:rPr>
                      <w:rStyle w:val="36"/>
                    </w:rPr>
                    <w:t>LibGEOS.jl</w:t>
                  </w:r>
                  <w:r>
                    <w:t xml:space="preserve">, </w:t>
                  </w:r>
                  <w:r>
                    <w:rPr>
                      <w:rStyle w:val="36"/>
                    </w:rPr>
                    <w:t>Statistics</w:t>
                  </w:r>
                </w:p>
              </w:tc>
              <w:tc>
                <w:p w14:paraId="021F5B2D">
                  <w:pPr>
                    <w:pStyle w:val="24"/>
                    <w:jc w:val="center"/>
                  </w:pPr>
                  <w:r>
                    <w:rPr>
                      <w:rStyle w:val="36"/>
                    </w:rPr>
                    <w:t>src/julia/04_fragmentacion.jl</w:t>
                  </w:r>
                  <w:r>
                    <w:t xml:space="preserve">, </w:t>
                  </w:r>
                  <w:r>
                    <w:rPr>
                      <w:rStyle w:val="36"/>
                    </w:rPr>
                    <w:t>notebooks/04c_topología_julia</w:t>
                  </w:r>
                  <w:r>
                    <w:t xml:space="preserve">, </w:t>
                  </w:r>
                  <w:r>
                    <w:rPr>
                      <w:rStyle w:val="36"/>
                    </w:rPr>
                    <w:t>14_validacion_trilingual</w:t>
                  </w:r>
                </w:p>
              </w:tc>
            </w:tr>
            <w:bookmarkEnd w:id="12"/>
          </w:tbl>
          <w:p w14:paraId="50E43297">
            <w:pPr>
              <w:spacing w:before="0" w:after="0"/>
            </w:pPr>
          </w:p>
        </w:tc>
      </w:tr>
      <w:bookmarkEnd w:id="11"/>
    </w:tbl>
    <w:p w14:paraId="40DB34B5">
      <w:pPr>
        <w:pStyle w:val="4"/>
      </w:pPr>
      <w:bookmarkStart w:id="13" w:name="X6d916e89bf56b7b9d58601b12f1daefed66a59f"/>
      <w:r>
        <w:rPr>
          <w:color w:val="000000"/>
        </w:rPr>
        <w:t>7.2 Fase 1: Construcción del datacube multitemporal (Python + geemap)</w:t>
      </w:r>
    </w:p>
    <w:p w14:paraId="13DDF9BC">
      <w:pPr>
        <w:pStyle w:val="23"/>
      </w:pPr>
      <w:r>
        <w:rPr>
          <w:color w:val="000000"/>
        </w:rPr>
        <w:t>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14:paraId="1CC1C406">
      <w:pPr>
        <w:pStyle w:val="3"/>
      </w:pPr>
      <w:r>
        <w:rPr>
          <w:color w:val="000000"/>
        </w:rPr>
        <w:t xml:space="preserve">El detalle de los tres datacubes NetCDF materializados (archivo, sensor, frecuencia, periodo, bandas y tamaño) se reporta en el Anexo F.10 del documento complementario, y el bloque de lectura perezosa con </w:t>
      </w:r>
      <w:r>
        <w:rPr>
          <w:rStyle w:val="36"/>
          <w:color w:val="000000"/>
        </w:rPr>
        <w:t>xarray</w:t>
      </w:r>
      <w:r>
        <w:rPr>
          <w:color w:val="000000"/>
        </w:rPr>
        <w:t xml:space="preserve"> se documenta en el Anexo E, ítem E.1.a.</w:t>
      </w:r>
    </w:p>
    <w:p w14:paraId="7548E122">
      <w:pPr>
        <w:pStyle w:val="3"/>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 </w:t>
      </w:r>
      <w:r>
        <w:rPr>
          <w:color w:val="000000"/>
        </w:rPr>
        <w:fldChar w:fldCharType="begin"/>
      </w:r>
      <w:r>
        <w:rPr>
          <w:color w:val="000000"/>
        </w:rPr>
        <w:instrText xml:space="preserve"> HYPERLINK \l "fig-ndvi-cambio" \h </w:instrText>
      </w:r>
      <w:r>
        <w:rPr>
          <w:color w:val="000000"/>
        </w:rPr>
        <w:fldChar w:fldCharType="separate"/>
      </w:r>
      <w:r>
        <w:rPr>
          <w:rStyle w:val="16"/>
          <w:color w:val="000000"/>
        </w:rPr>
        <w:t>figura 2</w:t>
      </w:r>
      <w:r>
        <w:rPr>
          <w:rStyle w:val="16"/>
          <w:color w:val="000000"/>
        </w:rPr>
        <w:fldChar w:fldCharType="end"/>
      </w:r>
      <w:r>
        <w:rPr>
          <w:color w:val="000000"/>
        </w:rPr>
        <w:t xml:space="preserve"> 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6C37EA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88B010F">
            <w:pPr>
              <w:pStyle w:val="24"/>
              <w:jc w:val="center"/>
            </w:pPr>
            <w:bookmarkStart w:id="14" w:name="fig-ndvi-cambio"/>
            <w:r>
              <w:rPr>
                <w:color w:val="000000"/>
              </w:rPr>
              <w:drawing>
                <wp:inline distT="0" distB="0" distL="114300" distR="114300">
                  <wp:extent cx="3200400" cy="2741930"/>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6"/>
                          <a:stretch>
                            <a:fillRect/>
                          </a:stretch>
                        </pic:blipFill>
                        <pic:spPr>
                          <a:xfrm>
                            <a:off x="0" y="0"/>
                            <a:ext cx="3200400" cy="2742460"/>
                          </a:xfrm>
                          <a:prstGeom prst="rect">
                            <a:avLst/>
                          </a:prstGeom>
                          <a:noFill/>
                          <a:ln>
                            <a:noFill/>
                          </a:ln>
                        </pic:spPr>
                      </pic:pic>
                    </a:graphicData>
                  </a:graphic>
                </wp:inline>
              </w:drawing>
            </w:r>
          </w:p>
          <w:p w14:paraId="46E4F00B">
            <w:pPr>
              <w:pStyle w:val="33"/>
              <w:spacing w:before="200"/>
              <w:jc w:val="left"/>
            </w:pPr>
            <w:r>
              <w:rPr>
                <w:color w:val="000000"/>
              </w:rPr>
              <w:t>Figura 2: Cambio en la mediana de NDVI entre el estado actual (2024–2025) y el periodo de degradación (2020 H2), calculado desde el datacube trimestral con convención Climate and Forecast versión 1.8 (CF-1.8) sobre el AOI acotado. El azul indica ganancia de vigor (regeneración), el rojo indica pérdida; coordenadas en metros sobre EPSG:9377 (código del sistema de referencia cartográfico colombiano MAGNA-SIRGAS Origen Nacional, oficializado por la Resolución IGAC 471 de 2020).</w:t>
            </w:r>
          </w:p>
          <w:bookmarkEnd w:id="14"/>
        </w:tc>
      </w:tr>
      <w:bookmarkEnd w:id="13"/>
    </w:tbl>
    <w:p w14:paraId="5C2D09DF">
      <w:pPr>
        <w:pStyle w:val="4"/>
      </w:pPr>
      <w:bookmarkStart w:id="15" w:name="X6331b8539a81b42d2133714563008e1ad45d786"/>
      <w:r>
        <w:rPr>
          <w:color w:val="000000"/>
        </w:rPr>
        <w:t>7.3 Fase 2: Análisis de series de tiempo (Python + pandas / R + bfast, Breaks For Additive Season and Trend)</w:t>
      </w:r>
    </w:p>
    <w:p w14:paraId="7CB739CC">
      <w:pPr>
        <w:pStyle w:val="23"/>
      </w:pPr>
      <w:r>
        <w:rPr>
          <w:color w:val="000000"/>
        </w:rPr>
        <w:t xml:space="preserve">Se extraen series temporales mensuales de NDVI sobre las ocho estaciones de muestreo mediante </w:t>
      </w:r>
      <w:r>
        <w:rPr>
          <w:rStyle w:val="36"/>
          <w:color w:val="000000"/>
        </w:rPr>
        <w:t>reduceRegion</w:t>
      </w:r>
      <w:r>
        <w:rPr>
          <w:color w:val="000000"/>
        </w:rPr>
        <w:t xml:space="preserve"> 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 </w:t>
      </w:r>
      <m:oMath>
        <m:r>
          <m:rPr/>
          <m:t>z</m:t>
        </m:r>
        <m:r>
          <m:rPr>
            <m:sty m:val="p"/>
          </m:rPr>
          <m:t>&lt;−</m:t>
        </m:r>
        <m:r>
          <m:rPr/>
          <m:t>2</m:t>
        </m:r>
      </m:oMath>
      <w:r>
        <w:rPr>
          <w:color w:val="000000"/>
        </w:rPr>
        <w:t>, y se aplica el algoritmo bfast en R para detectar quiebres estructurales en la tendencia de largo plazo. La corrección del factor de escala USGS, los parámetros de bfast (</w:t>
      </w:r>
      <m:oMath>
        <m:r>
          <m:rPr/>
          <m:t>h</m:t>
        </m:r>
      </m:oMath>
      <w:r>
        <w:rPr>
          <w:color w:val="000000"/>
        </w:rPr>
        <w:t>) y la implementación del z-score en Python se documentan en el Anexo E, ítems E.1.b y E.1.e.</w:t>
      </w:r>
    </w:p>
    <w:bookmarkEnd w:id="15"/>
    <w:p w14:paraId="00896690">
      <w:pPr>
        <w:pStyle w:val="4"/>
      </w:pPr>
      <w:bookmarkStart w:id="16" w:name="Xdbb4cc8b21eead9bd6c4afe235887ebf7e4b020"/>
      <w:r>
        <w:rPr>
          <w:color w:val="000000"/>
        </w:rPr>
        <w:t>7.4 Fase 3: Segmentación automática con SamGeo (Python + samgeo)</w:t>
      </w:r>
    </w:p>
    <w:p w14:paraId="02DDE4CE">
      <w:pPr>
        <w:pStyle w:val="23"/>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 </w:t>
      </w:r>
      <w:r>
        <w:rPr>
          <w:rStyle w:val="36"/>
          <w:color w:val="000000"/>
        </w:rPr>
        <w:t>reduceRegions</w:t>
      </w:r>
      <w:r>
        <w:rPr>
          <w:color w:val="000000"/>
        </w:rPr>
        <w:t xml:space="preserve"> se documenta en el Anexo E, ítem E.2.b.</w:t>
      </w:r>
    </w:p>
    <w:bookmarkEnd w:id="16"/>
    <w:p w14:paraId="32B4EAE2">
      <w:pPr>
        <w:pStyle w:val="4"/>
      </w:pPr>
      <w:bookmarkStart w:id="17" w:name="Xeecd85486b9012f96375d5decbbd65088d69214"/>
      <w:r>
        <w:rPr>
          <w:color w:val="000000"/>
        </w:rPr>
        <w:t>7.5 Fase 4: Métricas de fragmentación del paisaje (Julia)</w:t>
      </w:r>
    </w:p>
    <w:p w14:paraId="2C976155">
      <w:pPr>
        <w:pStyle w:val="23"/>
      </w:pPr>
      <w:r>
        <w:rPr>
          <w:color w:val="000000"/>
        </w:rPr>
        <w:t>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14:paraId="33FF8E1A">
      <w:pPr>
        <w:pStyle w:val="3"/>
      </w:pPr>
      <w:r>
        <w:rPr>
          <w:i/>
          <w:iCs/>
          <w:color w:val="000000"/>
        </w:rPr>
        <w:t xml:space="preserve">La función </w:t>
      </w:r>
      <w:r>
        <w:rPr>
          <w:rStyle w:val="36"/>
          <w:i/>
          <w:iCs/>
          <w:color w:val="000000"/>
        </w:rPr>
        <w:t>compute_metrics</w:t>
      </w:r>
      <w:r>
        <w:rPr>
          <w:i/>
          <w:iCs/>
          <w:color w:val="000000"/>
        </w:rPr>
        <w:t xml:space="preserve"> en Julia que calcula área (algoritmo del cordón), MSI y NND sobre los parches reproyectados a EPSG:9377 se documenta en el Anexo E, ítem E.4.a.</w:t>
      </w:r>
    </w:p>
    <w:p w14:paraId="69251869">
      <w:pPr>
        <w:pStyle w:val="3"/>
      </w:pPr>
      <w:r>
        <w:rPr>
          <w:color w:val="000000"/>
        </w:rPr>
        <w:t xml:space="preserve">Tres patrones técnicos cierran la robustez del flujo: lectura perezosa de los rasters segmentados con </w:t>
      </w:r>
      <w:r>
        <w:rPr>
          <w:rStyle w:val="36"/>
          <w:color w:val="000000"/>
        </w:rPr>
        <w:t>rasterio.open()</w:t>
      </w:r>
      <w:r>
        <w:rPr>
          <w:color w:val="000000"/>
        </w:rPr>
        <w:t xml:space="preserve"> (que evitó el colapso del kernel observado con vit_h y motivó el cambio a vit_b), reproyección al sistema oficial colombiano EPSG:9377 con </w:t>
      </w:r>
      <w:r>
        <w:rPr>
          <w:rStyle w:val="36"/>
          <w:color w:val="000000"/>
        </w:rPr>
        <w:t>geopandas.to_crs</w:t>
      </w:r>
      <w:r>
        <w:rPr>
          <w:color w:val="000000"/>
        </w:rPr>
        <w:t xml:space="preserve">, y aplicación de los predicados topológicos DE-9IM </w:t>
      </w:r>
      <w:r>
        <w:rPr>
          <w:rStyle w:val="36"/>
          <w:color w:val="000000"/>
        </w:rPr>
        <w:t>intersects</w:t>
      </w:r>
      <w:r>
        <w:rPr>
          <w:color w:val="000000"/>
        </w:rPr>
        <w:t xml:space="preserve"> y </w:t>
      </w:r>
      <w:r>
        <w:rPr>
          <w:rStyle w:val="36"/>
          <w:color w:val="000000"/>
        </w:rPr>
        <w:t>contains</w:t>
      </w:r>
      <w:r>
        <w:rPr>
          <w:color w:val="000000"/>
        </w:rPr>
        <w:t xml:space="preserve"> sobre los parches reproyectados para identificar truncamiento por frontera del AOI y envoltura del muestreo INVEMAR. El bloque articulado se documenta en el Anexo E, ítem E.2.a.</w:t>
      </w:r>
    </w:p>
    <w:bookmarkEnd w:id="17"/>
    <w:p w14:paraId="3C668497">
      <w:pPr>
        <w:pStyle w:val="4"/>
      </w:pPr>
      <w:bookmarkStart w:id="18" w:name="X448d853205a0a38533bf54f9b48732c8b1922c8"/>
      <w:r>
        <w:rPr>
          <w:color w:val="000000"/>
        </w:rPr>
        <w:t>7.6 Forzamiento climático y validación local en R</w:t>
      </w:r>
    </w:p>
    <w:p w14:paraId="45500C82">
      <w:pPr>
        <w:pStyle w:val="23"/>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 </w:t>
      </w:r>
      <w:r>
        <w:rPr>
          <w:b/>
          <w:bCs/>
          <w:color w:val="000000"/>
        </w:rPr>
        <w:t>Forzamiento climático multifuente</w:t>
      </w:r>
      <w:r>
        <w:rPr>
          <w:color w:val="000000"/>
        </w:rPr>
        <w:t xml:space="preserve"> y los bloques de código en el Anexo E, ítem E.3.a. Como contraparte local del flujo Python+GEE se construye además un cubo </w:t>
      </w:r>
      <w:r>
        <w:rPr>
          <w:rStyle w:val="36"/>
          <w:color w:val="000000"/>
        </w:rPr>
        <w:t>stars</w:t>
      </w:r>
      <w:r>
        <w:rPr>
          <w:color w:val="000000"/>
        </w:rPr>
        <w:t xml:space="preserve"> en R sobre los TIFs trimestrales Sentinel-2 ya descargados, cuya serie por estación reproduce la de </w:t>
      </w:r>
      <w:r>
        <w:rPr>
          <w:rStyle w:val="36"/>
          <w:color w:val="000000"/>
        </w:rPr>
        <w:t>reduceRegions</w:t>
      </w:r>
      <w:r>
        <w:rPr>
          <w:color w:val="000000"/>
        </w:rPr>
        <w:t xml:space="preserve"> en GEE con </w:t>
      </w:r>
      <m:oMath>
        <m:r>
          <m:rPr/>
          <m:t>ρ</m:t>
        </m:r>
        <m:r>
          <m:rPr>
            <m:sty m:val="p"/>
          </m:rPr>
          <m:t>&gt;</m:t>
        </m:r>
        <m:r>
          <m:rPr/>
          <m:t>0</m:t>
        </m:r>
        <m:r>
          <m:rPr>
            <m:sty m:val="p"/>
          </m:rPr>
          <m:t>,</m:t>
        </m:r>
        <m:r>
          <m:rPr/>
          <m:t>95</m:t>
        </m:r>
      </m:oMath>
      <w:r>
        <w:rPr>
          <w:color w:val="000000"/>
        </w:rPr>
        <w:t xml:space="preserve"> y RMSE &lt; 0,05 unidades NDVI (Anexo E, ítem E.1.c).</w:t>
      </w:r>
    </w:p>
    <w:bookmarkEnd w:id="18"/>
    <w:p w14:paraId="110D88C6">
      <w:pPr>
        <w:pStyle w:val="4"/>
      </w:pPr>
      <w:bookmarkStart w:id="19" w:name="X2edcffed340f0a7e78cf7a88d39c005ea271e30"/>
      <w:r>
        <w:rPr>
          <w:color w:val="000000"/>
        </w:rPr>
        <w:t>7.7 Fase 5: Validación con datos NASA y dashboard</w:t>
      </w:r>
    </w:p>
    <w:p w14:paraId="0B1D11F4">
      <w:pPr>
        <w:pStyle w:val="23"/>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 </w:t>
      </w:r>
      <w:r>
        <w:rPr>
          <w:i/>
          <w:iCs/>
          <w:color w:val="000000"/>
        </w:rPr>
        <w:t>La detección de inundación Sentinel-1 SAR para el evento de septiembre 2020 se documenta en el Anexo E, ítem E.3.b.</w:t>
      </w:r>
    </w:p>
    <w:bookmarkEnd w:id="19"/>
    <w:p w14:paraId="05FF1AA4">
      <w:pPr>
        <w:pStyle w:val="4"/>
      </w:pPr>
      <w:bookmarkStart w:id="20" w:name="flujo-de-datos"/>
      <w:r>
        <w:rPr>
          <w:color w:val="000000"/>
        </w:rPr>
        <w:t>7.8 Flujo de datos</w:t>
      </w:r>
    </w:p>
    <w:tbl>
      <w:tblPr>
        <w:tblW w:w="5000" w:type="pct"/>
        <w:tblInd w:w="0" w:type="dxa"/>
        <w:tblLayout w:type="autofit"/>
        <w:tblCellMar>
          <w:top w:w="0" w:type="dxa"/>
          <w:left w:w="10" w:type="dxa"/>
          <w:bottom w:w="0" w:type="dxa"/>
          <w:right w:w="1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6961A3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6D618188">
            <w:pPr>
              <w:pStyle w:val="24"/>
              <w:spacing w:before="0" w:after="0"/>
              <w:jc w:val="center"/>
            </w:pPr>
            <w:bookmarkStart w:id="21" w:name="fig-flujo"/>
          </w:p>
          <w:p w14:paraId="40C73AF7">
            <w:pPr>
              <w:pStyle w:val="33"/>
              <w:spacing w:before="0" w:after="0"/>
              <w:jc w:val="left"/>
            </w:pPr>
            <w:r>
              <w:rPr>
                <w:b/>
                <w:color w:val="FFFFFF"/>
                <w:sz w:val="20"/>
              </w:rPr>
              <w:t>Figura 3: Flujo metodológico del proyecto: seis fases secuenciales con validación cruzada entre Python, R y Julia, todas ejecutadas dentro de un contenedor Docker que garantiza la reproducibilidad bit a bit de cada análisis.</w:t>
            </w:r>
          </w:p>
          <w:bookmarkEnd w:id="21"/>
        </w:tc>
      </w:tr>
    </w:tbl>
    <w:p w14:paraId="3D4177C0">
      <w:pPr>
        <w:pStyle w:val="3"/>
      </w:pPr>
      <w:r>
        <w:rPr>
          <w:color w:val="000000"/>
        </w:rPr>
        <w:t>El detalle paso a paso del flujo, con la herramienta concreta, el lenguaje, la entrada y la salida de cada fase, se reporta en el Anexo F.7 del documento complementario.</w:t>
      </w:r>
    </w:p>
    <w:bookmarkEnd w:id="20"/>
    <w:p w14:paraId="49DB4617">
      <w:pPr>
        <w:pStyle w:val="4"/>
      </w:pPr>
      <w:bookmarkStart w:id="22" w:name="entorno-de-ejecución"/>
      <w:r>
        <w:rPr>
          <w:color w:val="000000"/>
        </w:rPr>
        <w:t>7.9 Entorno de ejecución</w:t>
      </w:r>
    </w:p>
    <w:p w14:paraId="5A7C95C2">
      <w:pPr>
        <w:pStyle w:val="23"/>
      </w:pPr>
      <w:r>
        <w:rPr>
          <w:color w:val="000000"/>
        </w:rPr>
        <w:t xml:space="preserve">Todo el flujo se ejecuta dentro del contenedor Docker </w:t>
      </w:r>
      <w:r>
        <w:rPr>
          <w:rStyle w:val="36"/>
          <w:color w:val="000000"/>
        </w:rPr>
        <w:t>sig_unal v1.11</w:t>
      </w:r>
      <w:r>
        <w:rPr>
          <w:color w:val="000000"/>
        </w:rPr>
        <w:t xml:space="preserve"> 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10"/>
    <w:bookmarkEnd w:id="22"/>
    <w:p w14:paraId="19322CBE">
      <w:pPr>
        <w:pStyle w:val="2"/>
      </w:pPr>
      <w:bookmarkStart w:id="23" w:name="resultados-y-discusión"/>
      <w:r>
        <w:rPr>
          <w:color w:val="000000"/>
        </w:rPr>
        <w:t>8. Resultados y discusión</w:t>
      </w:r>
    </w:p>
    <w:p w14:paraId="1E07E33E">
      <w:pPr>
        <w:pStyle w:val="4"/>
      </w:pPr>
      <w:bookmarkStart w:id="24" w:name="X10cdb07b961c8d30f87194a68edf8a1c1ebd0e6"/>
      <w:r>
        <w:rPr>
          <w:color w:val="000000"/>
        </w:rPr>
        <w:t>8.1 Series temporales de NDVI y detección de anomalías</w:t>
      </w:r>
    </w:p>
    <w:p w14:paraId="78280836">
      <w:pPr>
        <w:pStyle w:val="23"/>
      </w:pPr>
      <w:r>
        <w:rPr>
          <w:color w:val="000000"/>
        </w:rPr>
        <w:t>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 “actual” 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14:paraId="6EE9242F">
      <w:pPr>
        <w:pStyle w:val="3"/>
      </w:pPr>
      <w:r>
        <w:rPr>
          <w:color w:val="000000"/>
        </w:rPr>
        <w:t>El listado individual de las 18 anomalías ,con estación, fecha, NDVI, z-score y sensor de origen, se reporta en el Anexo F.6 del documento complementario.</w:t>
      </w:r>
    </w:p>
    <w:p w14:paraId="1442496C">
      <w:pPr>
        <w:pStyle w:val="3"/>
      </w:pPr>
      <w:r>
        <w:rPr>
          <w:color w:val="000000"/>
        </w:rPr>
        <w:t>La construcción del datacube trimestral CF-1.8 sobre el AOI acotado ,ver Anexo F.10, permite, además, calcular una serie temporal del NDVI mediano restringida a los píxeles que superan el umbral de manglar (</w:t>
      </w:r>
      <m:oMath>
        <m:r>
          <m:rPr/>
          <m:t>NDVI</m:t>
        </m:r>
        <m:r>
          <m:rPr>
            <m:sty m:val="p"/>
          </m:rPr>
          <m:t>&gt;</m:t>
        </m:r>
        <m:r>
          <m:rPr/>
          <m:t>0</m:t>
        </m:r>
        <m:r>
          <m:rPr>
            <m:sty m:val="p"/>
          </m:rPr>
          <m:t>,</m:t>
        </m:r>
        <m:r>
          <m:rPr/>
          <m:t>4</m:t>
        </m:r>
      </m:oMath>
      <w:r>
        <w:rPr>
          <w:color w:val="000000"/>
        </w:rPr>
        <w:t xml:space="preserve">), de modo que la dinámica observada deja de estar diluida por el agua, las salinas y los arenales que también ocupan el polígono. El resultado, presentado en la figura </w:t>
      </w:r>
      <w:r>
        <w:rPr>
          <w:color w:val="000000"/>
        </w:rPr>
        <w:fldChar w:fldCharType="begin"/>
      </w:r>
      <w:r>
        <w:rPr>
          <w:color w:val="000000"/>
        </w:rPr>
        <w:instrText xml:space="preserve"> HYPERLINK \l "fig-ndvi-manglar" \h </w:instrText>
      </w:r>
      <w:r>
        <w:rPr>
          <w:color w:val="000000"/>
        </w:rPr>
        <w:fldChar w:fldCharType="separate"/>
      </w:r>
      <w:r>
        <w:rPr>
          <w:rStyle w:val="16"/>
          <w:color w:val="000000"/>
        </w:rPr>
        <w:t>figura 4</w:t>
      </w:r>
      <w:r>
        <w:rPr>
          <w:rStyle w:val="16"/>
          <w:color w:val="000000"/>
        </w:rPr>
        <w:fldChar w:fldCharType="end"/>
      </w:r>
      <w:r>
        <w:rPr>
          <w:color w:val="000000"/>
        </w:rPr>
        <w:t>,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3D755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65788320">
            <w:pPr>
              <w:pStyle w:val="24"/>
              <w:jc w:val="center"/>
            </w:pPr>
            <w:bookmarkStart w:id="25" w:name="fig-ndvi-manglar"/>
            <w:r>
              <w:rPr>
                <w:color w:val="000000"/>
              </w:rPr>
              <w:drawing>
                <wp:inline distT="0" distB="0" distL="114300" distR="114300">
                  <wp:extent cx="3840480" cy="1544955"/>
                  <wp:effectExtent l="0" t="0" r="0" b="0"/>
                  <wp:docPr id="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pic:cNvPicPr>
                            <a:picLocks noChangeAspect="1" noChangeArrowheads="1"/>
                          </pic:cNvPicPr>
                        </pic:nvPicPr>
                        <pic:blipFill>
                          <a:blip r:embed="rId7"/>
                          <a:stretch>
                            <a:fillRect/>
                          </a:stretch>
                        </pic:blipFill>
                        <pic:spPr>
                          <a:xfrm>
                            <a:off x="0" y="0"/>
                            <a:ext cx="3840480" cy="1545000"/>
                          </a:xfrm>
                          <a:prstGeom prst="rect">
                            <a:avLst/>
                          </a:prstGeom>
                          <a:noFill/>
                          <a:ln>
                            <a:noFill/>
                          </a:ln>
                        </pic:spPr>
                      </pic:pic>
                    </a:graphicData>
                  </a:graphic>
                </wp:inline>
              </w:drawing>
            </w:r>
          </w:p>
          <w:p w14:paraId="51ACC6F7">
            <w:pPr>
              <w:pStyle w:val="33"/>
              <w:spacing w:before="200"/>
              <w:jc w:val="left"/>
            </w:pPr>
            <w:r>
              <w:rPr>
                <w:color w:val="000000"/>
              </w:rPr>
              <w:t xml:space="preserve">Figura 4: Serie temporal del NDVI mediaño del manglar sobre AOI acotado (SFF CGSM + VPI Salamanca, 835 km²) entre 2018 y 2025, calculada a partir del datacube trimestral CF-1.8 restringida a píxeles con </w:t>
            </w:r>
            <m:oMath>
              <m:r>
                <m:rPr/>
                <m:t>NDVI</m:t>
              </m:r>
              <m:r>
                <m:rPr>
                  <m:sty m:val="p"/>
                </m:rPr>
                <m:t>&gt;</m:t>
              </m:r>
              <m:r>
                <m:rPr/>
                <m:t>0</m:t>
              </m:r>
              <m:r>
                <m:rPr>
                  <m:sty m:val="p"/>
                </m:rPr>
                <m:t>,</m:t>
              </m:r>
              <m:r>
                <m:rPr/>
                <m:t>4</m:t>
              </m:r>
            </m:oMath>
            <w:r>
              <w:rPr>
                <w:color w:val="000000"/>
              </w:rPr>
              <w:t>. Las franjas sombreadas marcan los tres periodos de referencia de la segmentación; la caída de 2019–2020 coincide con la sequía y el episodio La Niña que sostienen la narrativa del informe.</w:t>
            </w:r>
          </w:p>
          <w:bookmarkEnd w:id="25"/>
        </w:tc>
      </w:tr>
      <w:bookmarkEnd w:id="24"/>
    </w:tbl>
    <w:p w14:paraId="76E6ADCC">
      <w:pPr>
        <w:pStyle w:val="4"/>
      </w:pPr>
      <w:bookmarkStart w:id="26" w:name="análisis-bfast-serie-combinada-20132025"/>
      <w:r>
        <w:rPr>
          <w:color w:val="000000"/>
        </w:rPr>
        <w:t>8.2 Análisis bfast (serie combinada 2013–2025)</w:t>
      </w:r>
    </w:p>
    <w:p w14:paraId="3E01076D">
      <w:pPr>
        <w:pStyle w:val="23"/>
      </w:pPr>
      <w:r>
        <w:rPr>
          <w:color w:val="000000"/>
        </w:rPr>
        <w:t xml:space="preserve">El algoritmo bfast descompone cada serie temporal en tendencia, estacionalidad y residuo, y prueba estadísticamente la presencia de quiebres bruscos en la tendencia de largo plazo (el parámetro </w:t>
      </w:r>
      <m:oMath>
        <m:r>
          <m:rPr/>
          <m:t>h</m:t>
        </m:r>
      </m:oMath>
      <w:r>
        <w:rPr>
          <w:color w:val="000000"/>
        </w:rPr>
        <w:t xml:space="preserve"> controla el tamaño mínimo del segmento entre quiebres: </w:t>
      </w:r>
      <m:oMath>
        <m:r>
          <m:rPr/>
          <m:t>h</m:t>
        </m:r>
        <m:r>
          <m:rPr>
            <m:sty m:val="p"/>
          </m:rPr>
          <m:t>=</m:t>
        </m:r>
        <m:r>
          <m:rPr/>
          <m:t>0</m:t>
        </m:r>
        <m:r>
          <m:rPr>
            <m:sty m:val="p"/>
          </m:rPr>
          <m:t>,</m:t>
        </m:r>
        <m:r>
          <m:rPr/>
          <m:t>15</m:t>
        </m:r>
      </m:oMath>
      <w:r>
        <w:rPr>
          <w:color w:val="000000"/>
        </w:rPr>
        <w:t xml:space="preserve"> corresponde a 18 meses sobre la serie de 12 años, mientras </w:t>
      </w:r>
      <m:oMath>
        <m:r>
          <m:rPr/>
          <m:t>h</m:t>
        </m:r>
        <m:r>
          <m:rPr>
            <m:sty m:val="p"/>
          </m:rPr>
          <m:t>=</m:t>
        </m:r>
        <m:r>
          <m:rPr/>
          <m:t>0</m:t>
        </m:r>
        <m:r>
          <m:rPr>
            <m:sty m:val="p"/>
          </m:rPr>
          <m:t>,</m:t>
        </m:r>
        <m:r>
          <m:rPr/>
          <m:t>10</m:t>
        </m:r>
      </m:oMath>
      <w:r>
        <w:rPr>
          <w:color w:val="000000"/>
        </w:rPr>
        <w:t xml:space="preserve"> 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14:paraId="0FFE9C86">
      <w:pPr>
        <w:pStyle w:val="3"/>
      </w:pPr>
      <w:r>
        <w:rPr>
          <w:color w:val="000000"/>
        </w:rPr>
        <w:t xml:space="preserve">El detalle por estación de los quiebres en la serie combinada, fechas principales con </w:t>
      </w:r>
      <m:oMath>
        <m:r>
          <m:rPr/>
          <m:t>h</m:t>
        </m:r>
        <m:r>
          <m:rPr>
            <m:sty m:val="p"/>
          </m:rPr>
          <m:t>=</m:t>
        </m:r>
        <m:r>
          <m:rPr/>
          <m:t>0</m:t>
        </m:r>
        <m:r>
          <m:rPr>
            <m:sty m:val="p"/>
          </m:rPr>
          <m:t>,</m:t>
        </m:r>
        <m:r>
          <m:rPr/>
          <m:t>15</m:t>
        </m:r>
      </m:oMath>
      <w:r>
        <w:rPr>
          <w:color w:val="000000"/>
        </w:rPr>
        <w:t xml:space="preserve"> y </w:t>
      </w:r>
      <m:oMath>
        <m:r>
          <m:rPr/>
          <m:t>h</m:t>
        </m:r>
        <m:r>
          <m:rPr>
            <m:sty m:val="p"/>
          </m:rPr>
          <m:t>=</m:t>
        </m:r>
        <m:r>
          <m:rPr/>
          <m:t>0</m:t>
        </m:r>
        <m:r>
          <m:rPr>
            <m:sty m:val="p"/>
          </m:rPr>
          <m:t>,</m:t>
        </m:r>
        <m:r>
          <m:rPr/>
          <m:t>10</m:t>
        </m:r>
      </m:oMath>
      <w:r>
        <w:rPr>
          <w:color w:val="000000"/>
        </w:rPr>
        <w:t xml:space="preserve"> y el evento ENSO asociado, se reporta en el Anexo F.4 del documento complementario.</w:t>
      </w:r>
    </w:p>
    <w:bookmarkEnd w:id="26"/>
    <w:p w14:paraId="47BB5FE6">
      <w:pPr>
        <w:pStyle w:val="4"/>
      </w:pPr>
      <w:bookmarkStart w:id="27" w:name="Xc83a26e2c8becf6137faec9382e4dddefb99217"/>
      <w:r>
        <w:rPr>
          <w:color w:val="000000"/>
        </w:rPr>
        <w:t>8.3 Análisis bfast unificado sobre las cuatro estaciones de manglar real (2018–2025)</w:t>
      </w:r>
    </w:p>
    <w:p w14:paraId="22A010FE">
      <w:pPr>
        <w:pStyle w:val="23"/>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 </w:t>
      </w:r>
      <w:r>
        <w:rPr>
          <w:color w:val="000000"/>
        </w:rPr>
        <w:fldChar w:fldCharType="begin"/>
      </w:r>
      <w:r>
        <w:rPr>
          <w:color w:val="000000"/>
        </w:rPr>
        <w:instrText xml:space="preserve"> HYPERLINK \l "tbl-clasif-estaciones" \h </w:instrText>
      </w:r>
      <w:r>
        <w:rPr>
          <w:color w:val="000000"/>
        </w:rPr>
        <w:fldChar w:fldCharType="separate"/>
      </w:r>
      <w:r>
        <w:rPr>
          <w:rStyle w:val="16"/>
          <w:color w:val="000000"/>
        </w:rPr>
        <w:t>tabla 5</w:t>
      </w:r>
      <w:r>
        <w:rPr>
          <w:rStyle w:val="16"/>
          <w:color w:val="000000"/>
        </w:rPr>
        <w:fldChar w:fldCharType="end"/>
      </w:r>
      <w:r>
        <w:rPr>
          <w:color w:val="000000"/>
        </w:rPr>
        <w:t xml:space="preserve"> demuestra que esas dos naturalezas espectrales responden a forzamientos climáticos con signos opuestos ,ver tabla </w:t>
      </w:r>
      <w:r>
        <w:rPr>
          <w:b/>
          <w:bCs/>
          <w:color w:val="000000"/>
        </w:rPr>
        <w:t>?@tbl-era5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 </w:t>
      </w:r>
      <w:r>
        <w:rPr>
          <w:color w:val="000000"/>
        </w:rPr>
        <w:fldChar w:fldCharType="begin"/>
      </w:r>
      <w:r>
        <w:rPr>
          <w:color w:val="000000"/>
        </w:rPr>
        <w:instrText xml:space="preserve"> HYPERLINK \l "tbl-bfast-unificado" \h </w:instrText>
      </w:r>
      <w:r>
        <w:rPr>
          <w:color w:val="000000"/>
        </w:rPr>
        <w:fldChar w:fldCharType="separate"/>
      </w:r>
      <w:r>
        <w:rPr>
          <w:rStyle w:val="16"/>
          <w:color w:val="000000"/>
        </w:rPr>
        <w:t>tabla 3</w:t>
      </w:r>
      <w:r>
        <w:rPr>
          <w:rStyle w:val="16"/>
          <w:color w:val="000000"/>
        </w:rPr>
        <w:fldChar w:fldCharType="end"/>
      </w:r>
      <w:r>
        <w:rPr>
          <w:color w:val="000000"/>
        </w:rPr>
        <w:t xml:space="preserve"> reporta el resultado de esta evaluación.</w:t>
      </w:r>
    </w:p>
    <w:tbl>
      <w:tblPr>
        <w:tblW w:w="5000" w:type="pct"/>
        <w:tblInd w:w="0" w:type="dxa"/>
        <w:tblLayout w:type="autofit"/>
        <w:tblCellMar>
          <w:top w:w="0" w:type="dxa"/>
          <w:left w:w="10" w:type="dxa"/>
          <w:bottom w:w="0" w:type="dxa"/>
          <w:right w:w="1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49DAAC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232C7A9E">
            <w:pPr>
              <w:pStyle w:val="33"/>
              <w:spacing w:before="0" w:after="0"/>
              <w:jc w:val="left"/>
            </w:pPr>
            <w:bookmarkStart w:id="28" w:name="tbl-bfast-unificado"/>
            <w:r>
              <w:rPr>
                <w:b/>
                <w:color w:val="FFFFFF"/>
                <w:sz w:val="20"/>
              </w:rPr>
              <w:t>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29"/>
              <w:tblW w:w="5000" w:type="pct"/>
              <w:tblInd w:w="0" w:type="dxa"/>
              <w:tblLayout w:type="autofit"/>
              <w:tblCellMar>
                <w:top w:w="0" w:type="dxa"/>
                <w:left w:w="108" w:type="dxa"/>
                <w:bottom w:w="0" w:type="dxa"/>
                <w:right w:w="108" w:type="dxa"/>
              </w:tblCellMar>
            </w:tblPr>
            <w:tblGrid>
              <w:gridCol w:w="1295"/>
              <w:gridCol w:w="1487"/>
              <w:gridCol w:w="2074"/>
              <w:gridCol w:w="2195"/>
              <w:gridCol w:w="1589"/>
            </w:tblGrid>
            <w:tr w14:paraId="5CAE3C37">
              <w:tblPrEx>
                <w:tblCellMar>
                  <w:top w:w="0" w:type="dxa"/>
                  <w:left w:w="108" w:type="dxa"/>
                  <w:bottom w:w="0" w:type="dxa"/>
                  <w:right w:w="108" w:type="dxa"/>
                </w:tblCellMar>
              </w:tblPrEx>
              <w:trPr>
                <w:tblHeader/>
              </w:trPr>
              <w:tc>
                <w:p w14:paraId="1336AC46">
                  <w:pPr>
                    <w:pStyle w:val="24"/>
                    <w:jc w:val="center"/>
                  </w:pPr>
                  <w:r>
                    <w:t>Estación</w:t>
                  </w:r>
                </w:p>
              </w:tc>
              <w:tc>
                <w:p w14:paraId="6643741D">
                  <w:pPr>
                    <w:pStyle w:val="24"/>
                    <w:jc w:val="center"/>
                  </w:pPr>
                  <w:r>
                    <w:t>Quiebre 2020 (La Niña)</w:t>
                  </w:r>
                </w:p>
              </w:tc>
              <w:tc>
                <w:p w14:paraId="3E0BC2E8">
                  <w:pPr>
                    <w:pStyle w:val="24"/>
                    <w:jc w:val="center"/>
                  </w:pPr>
                  <w:r>
                    <w:t>Quiebre 2022 (Recuperación)</w:t>
                  </w:r>
                </w:p>
              </w:tc>
              <w:tc>
                <w:p w14:paraId="4CDF3055">
                  <w:pPr>
                    <w:pStyle w:val="24"/>
                    <w:jc w:val="center"/>
                  </w:pPr>
                  <w:r>
                    <w:t>Quiebre 2023–2025 (El Niño 2023–24)</w:t>
                  </w:r>
                </w:p>
              </w:tc>
              <w:tc>
                <w:p w14:paraId="3B17430D">
                  <w:pPr>
                    <w:pStyle w:val="24"/>
                    <w:jc w:val="center"/>
                  </w:pPr>
                  <w:r>
                    <w:t>Quiebres totales (h=0,15)</w:t>
                  </w:r>
                </w:p>
              </w:tc>
            </w:tr>
            <w:tr w14:paraId="774C2526">
              <w:tblPrEx>
                <w:tblCellMar>
                  <w:top w:w="0" w:type="dxa"/>
                  <w:left w:w="108" w:type="dxa"/>
                  <w:bottom w:w="0" w:type="dxa"/>
                  <w:right w:w="108" w:type="dxa"/>
                </w:tblCellMar>
              </w:tblPrEx>
              <w:tc>
                <w:p w14:paraId="5745D434">
                  <w:pPr>
                    <w:pStyle w:val="24"/>
                    <w:jc w:val="center"/>
                  </w:pPr>
                  <w:r>
                    <w:t>Caño Palos</w:t>
                  </w:r>
                </w:p>
              </w:tc>
              <w:tc>
                <w:p w14:paraId="18601B9E">
                  <w:pPr>
                    <w:pStyle w:val="24"/>
                    <w:jc w:val="center"/>
                  </w:pPr>
                  <w:r>
                    <w:rPr>
                      <w:b/>
                      <w:bCs/>
                    </w:rPr>
                    <w:t>2020-06</w:t>
                  </w:r>
                </w:p>
              </w:tc>
              <w:tc>
                <w:p w14:paraId="31884FE1">
                  <w:pPr>
                    <w:pStyle w:val="24"/>
                    <w:jc w:val="center"/>
                  </w:pPr>
                  <w:r>
                    <w:t>,</w:t>
                  </w:r>
                </w:p>
              </w:tc>
              <w:tc>
                <w:p w14:paraId="08DCA3BD">
                  <w:pPr>
                    <w:pStyle w:val="24"/>
                    <w:jc w:val="center"/>
                  </w:pPr>
                  <w:r>
                    <w:t>2024-06</w:t>
                  </w:r>
                </w:p>
              </w:tc>
              <w:tc>
                <w:p w14:paraId="072EB1E3">
                  <w:pPr>
                    <w:pStyle w:val="24"/>
                    <w:jc w:val="center"/>
                  </w:pPr>
                  <w:r>
                    <w:t>2</w:t>
                  </w:r>
                </w:p>
              </w:tc>
            </w:tr>
            <w:tr w14:paraId="0EDCFFFA">
              <w:tblPrEx>
                <w:tblCellMar>
                  <w:top w:w="0" w:type="dxa"/>
                  <w:left w:w="108" w:type="dxa"/>
                  <w:bottom w:w="0" w:type="dxa"/>
                  <w:right w:w="108" w:type="dxa"/>
                </w:tblCellMar>
              </w:tblPrEx>
              <w:tc>
                <w:p w14:paraId="177C0483">
                  <w:pPr>
                    <w:pStyle w:val="24"/>
                    <w:jc w:val="center"/>
                  </w:pPr>
                  <w:r>
                    <w:t>Caño Clarín</w:t>
                  </w:r>
                </w:p>
              </w:tc>
              <w:tc>
                <w:p w14:paraId="3ACC61C7">
                  <w:pPr>
                    <w:pStyle w:val="24"/>
                    <w:jc w:val="center"/>
                  </w:pPr>
                  <w:r>
                    <w:rPr>
                      <w:b/>
                      <w:bCs/>
                    </w:rPr>
                    <w:t>2020-02, 2020-12</w:t>
                  </w:r>
                </w:p>
              </w:tc>
              <w:tc>
                <w:p w14:paraId="0E76879A">
                  <w:pPr>
                    <w:pStyle w:val="24"/>
                    <w:jc w:val="center"/>
                  </w:pPr>
                  <w:r>
                    <w:t>2021-04</w:t>
                  </w:r>
                </w:p>
              </w:tc>
              <w:tc>
                <w:p w14:paraId="32CCD650">
                  <w:pPr>
                    <w:pStyle w:val="24"/>
                    <w:jc w:val="center"/>
                  </w:pPr>
                  <w:r>
                    <w:t>2023-08, 2024-05, 2025-02</w:t>
                  </w:r>
                </w:p>
              </w:tc>
              <w:tc>
                <w:p w14:paraId="35CF1C8E">
                  <w:pPr>
                    <w:pStyle w:val="24"/>
                    <w:jc w:val="center"/>
                  </w:pPr>
                  <w:r>
                    <w:t>2 (con h=0,10 sube a 6)</w:t>
                  </w:r>
                </w:p>
              </w:tc>
            </w:tr>
            <w:tr w14:paraId="54422F08">
              <w:tblPrEx>
                <w:tblCellMar>
                  <w:top w:w="0" w:type="dxa"/>
                  <w:left w:w="108" w:type="dxa"/>
                  <w:bottom w:w="0" w:type="dxa"/>
                  <w:right w:w="108" w:type="dxa"/>
                </w:tblCellMar>
              </w:tblPrEx>
              <w:tc>
                <w:p w14:paraId="72AEFE4D">
                  <w:pPr>
                    <w:pStyle w:val="24"/>
                    <w:jc w:val="center"/>
                  </w:pPr>
                  <w:r>
                    <w:t>CP Aguas Negras</w:t>
                  </w:r>
                </w:p>
              </w:tc>
              <w:tc>
                <w:p w14:paraId="05B37CDE">
                  <w:pPr>
                    <w:pStyle w:val="24"/>
                    <w:jc w:val="center"/>
                  </w:pPr>
                  <w:r>
                    <w:t>,</w:t>
                  </w:r>
                </w:p>
              </w:tc>
              <w:tc>
                <w:p w14:paraId="0B5449EE">
                  <w:pPr>
                    <w:pStyle w:val="24"/>
                    <w:jc w:val="center"/>
                  </w:pPr>
                  <w:r>
                    <w:rPr>
                      <w:b/>
                      <w:bCs/>
                    </w:rPr>
                    <w:t>2022-04</w:t>
                  </w:r>
                </w:p>
              </w:tc>
              <w:tc>
                <w:p w14:paraId="054603DA">
                  <w:pPr>
                    <w:pStyle w:val="24"/>
                    <w:jc w:val="center"/>
                  </w:pPr>
                  <w:r>
                    <w:t>2023-10</w:t>
                  </w:r>
                </w:p>
              </w:tc>
              <w:tc>
                <w:p w14:paraId="2C44D701">
                  <w:pPr>
                    <w:pStyle w:val="24"/>
                    <w:jc w:val="center"/>
                  </w:pPr>
                  <w:r>
                    <w:t>2</w:t>
                  </w:r>
                </w:p>
              </w:tc>
            </w:tr>
            <w:tr w14:paraId="04C8A4A7">
              <w:tblPrEx>
                <w:tblCellMar>
                  <w:top w:w="0" w:type="dxa"/>
                  <w:left w:w="108" w:type="dxa"/>
                  <w:bottom w:w="0" w:type="dxa"/>
                  <w:right w:w="108" w:type="dxa"/>
                </w:tblCellMar>
              </w:tblPrEx>
              <w:tc>
                <w:p w14:paraId="293BF239">
                  <w:pPr>
                    <w:pStyle w:val="24"/>
                    <w:jc w:val="center"/>
                  </w:pPr>
                  <w:r>
                    <w:t>CP Luna</w:t>
                  </w:r>
                </w:p>
              </w:tc>
              <w:tc>
                <w:p w14:paraId="0F5379D4">
                  <w:pPr>
                    <w:pStyle w:val="24"/>
                    <w:jc w:val="center"/>
                  </w:pPr>
                  <w:r>
                    <w:t>,</w:t>
                  </w:r>
                </w:p>
              </w:tc>
              <w:tc>
                <w:p w14:paraId="73F6BA42">
                  <w:pPr>
                    <w:pStyle w:val="24"/>
                    <w:jc w:val="center"/>
                  </w:pPr>
                  <w:r>
                    <w:rPr>
                      <w:b/>
                      <w:bCs/>
                    </w:rPr>
                    <w:t>2022-01</w:t>
                  </w:r>
                </w:p>
              </w:tc>
              <w:tc>
                <w:p w14:paraId="0F90BDD6">
                  <w:pPr>
                    <w:pStyle w:val="24"/>
                    <w:jc w:val="center"/>
                  </w:pPr>
                  <w:r>
                    <w:t>2024-06</w:t>
                  </w:r>
                </w:p>
              </w:tc>
              <w:tc>
                <w:p w14:paraId="07ADD6DF">
                  <w:pPr>
                    <w:pStyle w:val="24"/>
                    <w:jc w:val="center"/>
                  </w:pPr>
                  <w:r>
                    <w:t>2</w:t>
                  </w:r>
                </w:p>
              </w:tc>
            </w:tr>
            <w:bookmarkEnd w:id="28"/>
          </w:tbl>
          <w:p w14:paraId="18525E70">
            <w:pPr>
              <w:spacing w:before="0" w:after="0"/>
            </w:pPr>
          </w:p>
        </w:tc>
      </w:tr>
    </w:tbl>
    <w:p w14:paraId="19679F82">
      <w:pPr>
        <w:pStyle w:val="3"/>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 </w:t>
      </w:r>
      <w:r>
        <w:rPr>
          <w:color w:val="000000"/>
        </w:rPr>
        <w:fldChar w:fldCharType="begin"/>
      </w:r>
      <w:r>
        <w:rPr>
          <w:color w:val="000000"/>
        </w:rPr>
        <w:instrText xml:space="preserve"> HYPERLINK \l "fig-enso-serie" \h </w:instrText>
      </w:r>
      <w:r>
        <w:rPr>
          <w:color w:val="000000"/>
        </w:rPr>
        <w:fldChar w:fldCharType="separate"/>
      </w:r>
      <w:r>
        <w:rPr>
          <w:rStyle w:val="16"/>
          <w:color w:val="000000"/>
        </w:rPr>
        <w:t>figura 5</w:t>
      </w:r>
      <w:r>
        <w:rPr>
          <w:rStyle w:val="16"/>
          <w:color w:val="000000"/>
        </w:rPr>
        <w:fldChar w:fldCharType="end"/>
      </w:r>
      <w:r>
        <w:rPr>
          <w:color w:val="000000"/>
        </w:rPr>
        <w:t>,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27"/>
    <w:p w14:paraId="3F021154">
      <w:pPr>
        <w:pStyle w:val="4"/>
      </w:pPr>
      <w:bookmarkStart w:id="29" w:name="Xa158233c03487fef3378cd7220430a1cfa6c01d"/>
      <w:r>
        <w:rPr>
          <w:color w:val="000000"/>
        </w:rPr>
        <w:t>8.4 Segmentación y dinámica de cobertura sobre el AOI acotado</w:t>
      </w:r>
    </w:p>
    <w:p w14:paraId="1F688662">
      <w:pPr>
        <w:pStyle w:val="23"/>
      </w:pPr>
      <w:r>
        <w:rPr>
          <w:color w:val="000000"/>
        </w:rPr>
        <w:t>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29"/>
    <w:p w14:paraId="645B1354">
      <w:pPr>
        <w:pStyle w:val="4"/>
      </w:pPr>
      <w:bookmarkStart w:id="30" w:name="X38e297e02238021cc145ce8710612d37d8ceffe"/>
      <w:r>
        <w:rPr>
          <w:color w:val="000000"/>
        </w:rPr>
        <w:t>8.5 Recalculo en EPSG:9377 y análisis topológico de parches</w:t>
      </w:r>
    </w:p>
    <w:p w14:paraId="7E5D10D0">
      <w:pPr>
        <w:pStyle w:val="23"/>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 </w:t>
      </w:r>
      <w:r>
        <w:rPr>
          <w:color w:val="000000"/>
        </w:rPr>
        <w:fldChar w:fldCharType="begin"/>
      </w:r>
      <w:r>
        <w:rPr>
          <w:color w:val="000000"/>
        </w:rPr>
        <w:instrText xml:space="preserve"> HYPERLINK \l "tbl-fragmentacion-acotado" \h </w:instrText>
      </w:r>
      <w:r>
        <w:rPr>
          <w:color w:val="000000"/>
        </w:rPr>
        <w:fldChar w:fldCharType="separate"/>
      </w:r>
      <w:r>
        <w:rPr>
          <w:rStyle w:val="16"/>
          <w:color w:val="000000"/>
        </w:rPr>
        <w:t>tabla 4</w:t>
      </w:r>
      <w:r>
        <w:rPr>
          <w:rStyle w:val="16"/>
          <w:color w:val="000000"/>
        </w:rPr>
        <w:fldChar w:fldCharType="end"/>
      </w:r>
      <w:r>
        <w:rPr>
          <w:color w:val="000000"/>
        </w:rPr>
        <w:t xml:space="preserve"> describen una secuencia de </w:t>
      </w:r>
      <w:r>
        <w:rPr>
          <w:b/>
          <w:bCs/>
          <w:color w:val="000000"/>
        </w:rPr>
        <w:t>contracción de área clasificada</w:t>
      </w:r>
      <w:r>
        <w:rPr>
          <w:color w:val="000000"/>
        </w:rPr>
        <w:t xml:space="preserve"> con simultánea </w:t>
      </w:r>
      <w:r>
        <w:rPr>
          <w:b/>
          <w:bCs/>
          <w:color w:val="000000"/>
        </w:rPr>
        <w:t>consolidación estructural</w:t>
      </w:r>
      <w:r>
        <w:rPr>
          <w:color w:val="000000"/>
        </w:rPr>
        <w:t>: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w="5000" w:type="pct"/>
        <w:tblInd w:w="0" w:type="dxa"/>
        <w:tblLayout w:type="autofit"/>
        <w:tblCellMar>
          <w:top w:w="0" w:type="dxa"/>
          <w:left w:w="10" w:type="dxa"/>
          <w:bottom w:w="0" w:type="dxa"/>
          <w:right w:w="1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74D3FD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6EC73220">
            <w:pPr>
              <w:pStyle w:val="33"/>
              <w:spacing w:before="0" w:after="0"/>
              <w:jc w:val="left"/>
            </w:pPr>
            <w:bookmarkStart w:id="31" w:name="tbl-fragmentacion-acotado"/>
            <w:r>
              <w:rPr>
                <w:b/>
                <w:color w:val="FFFFFF"/>
                <w:sz w:val="20"/>
              </w:rPr>
              <w:t>Tabla 4: Métricas de fragmentación sobre AOI acotado (SFF CGSM + VPI Salamanca, 835 km2), calculadas en EPSG:9377. Los parches están filtrados al rango 1–5.000 ha y procesados en Julia descomponiendo MultiPolygons.</w:t>
            </w:r>
          </w:p>
          <w:tbl>
            <w:tblPr>
              <w:tblStyle w:val="29"/>
              <w:tblW w:w="5000" w:type="pct"/>
              <w:tblInd w:w="0" w:type="dxa"/>
              <w:tblLayout w:type="autofit"/>
              <w:tblCellMar>
                <w:top w:w="0" w:type="dxa"/>
                <w:left w:w="108" w:type="dxa"/>
                <w:bottom w:w="0" w:type="dxa"/>
                <w:right w:w="108" w:type="dxa"/>
              </w:tblCellMar>
            </w:tblPr>
            <w:tblGrid>
              <w:gridCol w:w="2076"/>
              <w:gridCol w:w="1324"/>
              <w:gridCol w:w="1338"/>
              <w:gridCol w:w="1366"/>
              <w:gridCol w:w="1073"/>
              <w:gridCol w:w="1463"/>
            </w:tblGrid>
            <w:tr w14:paraId="7ACC1F32">
              <w:tblPrEx>
                <w:tblCellMar>
                  <w:top w:w="0" w:type="dxa"/>
                  <w:left w:w="108" w:type="dxa"/>
                  <w:bottom w:w="0" w:type="dxa"/>
                  <w:right w:w="108" w:type="dxa"/>
                </w:tblCellMar>
              </w:tblPrEx>
              <w:trPr>
                <w:tblHeader/>
              </w:trPr>
              <w:tc>
                <w:p w14:paraId="65944B3D">
                  <w:pPr>
                    <w:pStyle w:val="24"/>
                    <w:jc w:val="center"/>
                  </w:pPr>
                  <w:r>
                    <w:t>Periodo</w:t>
                  </w:r>
                </w:p>
              </w:tc>
              <w:tc>
                <w:p w14:paraId="4E631C2A">
                  <w:pPr>
                    <w:pStyle w:val="24"/>
                    <w:jc w:val="center"/>
                  </w:pPr>
                  <w:r>
                    <w:t>Parches (Julia)</w:t>
                  </w:r>
                </w:p>
              </w:tc>
              <w:tc>
                <w:p w14:paraId="7DB46967">
                  <w:pPr>
                    <w:pStyle w:val="24"/>
                    <w:jc w:val="center"/>
                  </w:pPr>
                  <w:r>
                    <w:t>Area total (ha)</w:t>
                  </w:r>
                </w:p>
              </w:tc>
              <w:tc>
                <w:p w14:paraId="4C2759C7">
                  <w:pPr>
                    <w:pStyle w:val="24"/>
                    <w:jc w:val="center"/>
                  </w:pPr>
                  <w:r>
                    <w:t>Area media (ha)</w:t>
                  </w:r>
                </w:p>
              </w:tc>
              <w:tc>
                <w:p w14:paraId="4BE4F9B4">
                  <w:pPr>
                    <w:pStyle w:val="24"/>
                    <w:jc w:val="center"/>
                  </w:pPr>
                  <w:r>
                    <w:t>MSI medio</w:t>
                  </w:r>
                </w:p>
              </w:tc>
              <w:tc>
                <w:p w14:paraId="738DDF11">
                  <w:pPr>
                    <w:pStyle w:val="24"/>
                    <w:jc w:val="center"/>
                  </w:pPr>
                  <w:r>
                    <w:t>NND medio (km)</w:t>
                  </w:r>
                </w:p>
              </w:tc>
            </w:tr>
            <w:tr w14:paraId="0DC57C71">
              <w:tblPrEx>
                <w:tblCellMar>
                  <w:top w:w="0" w:type="dxa"/>
                  <w:left w:w="108" w:type="dxa"/>
                  <w:bottom w:w="0" w:type="dxa"/>
                  <w:right w:w="108" w:type="dxa"/>
                </w:tblCellMar>
              </w:tblPrEx>
              <w:tc>
                <w:p w14:paraId="3F059796">
                  <w:pPr>
                    <w:pStyle w:val="24"/>
                    <w:jc w:val="center"/>
                  </w:pPr>
                  <w:r>
                    <w:t>Degradación (2020-S2)</w:t>
                  </w:r>
                </w:p>
              </w:tc>
              <w:tc>
                <w:p w14:paraId="274B9E73">
                  <w:pPr>
                    <w:pStyle w:val="24"/>
                    <w:jc w:val="center"/>
                  </w:pPr>
                  <w:r>
                    <w:t>79</w:t>
                  </w:r>
                </w:p>
              </w:tc>
              <w:tc>
                <w:p w14:paraId="35A7ACBF">
                  <w:pPr>
                    <w:pStyle w:val="24"/>
                    <w:jc w:val="center"/>
                  </w:pPr>
                  <w:r>
                    <w:t>12.425,6</w:t>
                  </w:r>
                </w:p>
              </w:tc>
              <w:tc>
                <w:p w14:paraId="443ADF0D">
                  <w:pPr>
                    <w:pStyle w:val="24"/>
                    <w:jc w:val="center"/>
                  </w:pPr>
                  <w:r>
                    <w:t>157,3</w:t>
                  </w:r>
                </w:p>
              </w:tc>
              <w:tc>
                <w:p w14:paraId="5D0C12A2">
                  <w:pPr>
                    <w:pStyle w:val="24"/>
                    <w:jc w:val="center"/>
                  </w:pPr>
                  <w:r>
                    <w:t>0,51</w:t>
                  </w:r>
                </w:p>
              </w:tc>
              <w:tc>
                <w:p w14:paraId="1E10DB40">
                  <w:pPr>
                    <w:pStyle w:val="24"/>
                    <w:jc w:val="center"/>
                  </w:pPr>
                  <w:r>
                    <w:t>1,10</w:t>
                  </w:r>
                </w:p>
              </w:tc>
            </w:tr>
            <w:tr w14:paraId="173D0AB0">
              <w:tblPrEx>
                <w:tblCellMar>
                  <w:top w:w="0" w:type="dxa"/>
                  <w:left w:w="108" w:type="dxa"/>
                  <w:bottom w:w="0" w:type="dxa"/>
                  <w:right w:w="108" w:type="dxa"/>
                </w:tblCellMar>
              </w:tblPrEx>
              <w:tc>
                <w:p w14:paraId="0D5D49B5">
                  <w:pPr>
                    <w:pStyle w:val="24"/>
                    <w:jc w:val="center"/>
                  </w:pPr>
                  <w:r>
                    <w:t>Recuperación (2022-S1)</w:t>
                  </w:r>
                </w:p>
              </w:tc>
              <w:tc>
                <w:p w14:paraId="6A4D131C">
                  <w:pPr>
                    <w:pStyle w:val="24"/>
                    <w:jc w:val="center"/>
                  </w:pPr>
                  <w:r>
                    <w:t>38</w:t>
                  </w:r>
                </w:p>
              </w:tc>
              <w:tc>
                <w:p w14:paraId="762A34F0">
                  <w:pPr>
                    <w:pStyle w:val="24"/>
                    <w:jc w:val="center"/>
                  </w:pPr>
                  <w:r>
                    <w:t>8.650,8</w:t>
                  </w:r>
                </w:p>
              </w:tc>
              <w:tc>
                <w:p w14:paraId="00227A8E">
                  <w:pPr>
                    <w:pStyle w:val="24"/>
                    <w:jc w:val="center"/>
                  </w:pPr>
                  <w:r>
                    <w:t>227,7</w:t>
                  </w:r>
                </w:p>
              </w:tc>
              <w:tc>
                <w:p w14:paraId="2BD1B464">
                  <w:pPr>
                    <w:pStyle w:val="24"/>
                    <w:jc w:val="center"/>
                  </w:pPr>
                  <w:r>
                    <w:t>1,01</w:t>
                  </w:r>
                </w:p>
              </w:tc>
              <w:tc>
                <w:p w14:paraId="18639466">
                  <w:pPr>
                    <w:pStyle w:val="24"/>
                    <w:jc w:val="center"/>
                  </w:pPr>
                  <w:r>
                    <w:t>1,99</w:t>
                  </w:r>
                </w:p>
              </w:tc>
            </w:tr>
            <w:tr w14:paraId="4FE212D3">
              <w:tblPrEx>
                <w:tblCellMar>
                  <w:top w:w="0" w:type="dxa"/>
                  <w:left w:w="108" w:type="dxa"/>
                  <w:bottom w:w="0" w:type="dxa"/>
                  <w:right w:w="108" w:type="dxa"/>
                </w:tblCellMar>
              </w:tblPrEx>
              <w:tc>
                <w:p w14:paraId="3CD9FF6A">
                  <w:pPr>
                    <w:pStyle w:val="24"/>
                    <w:jc w:val="center"/>
                  </w:pPr>
                  <w:r>
                    <w:t>Actual (2024–2025)</w:t>
                  </w:r>
                </w:p>
              </w:tc>
              <w:tc>
                <w:p w14:paraId="5B60F296">
                  <w:pPr>
                    <w:pStyle w:val="24"/>
                    <w:jc w:val="center"/>
                  </w:pPr>
                  <w:r>
                    <w:t>15</w:t>
                  </w:r>
                </w:p>
              </w:tc>
              <w:tc>
                <w:p w14:paraId="7717B1CE">
                  <w:pPr>
                    <w:pStyle w:val="24"/>
                    <w:jc w:val="center"/>
                  </w:pPr>
                  <w:r>
                    <w:t>4.037,0</w:t>
                  </w:r>
                </w:p>
              </w:tc>
              <w:tc>
                <w:p w14:paraId="4CB302F2">
                  <w:pPr>
                    <w:pStyle w:val="24"/>
                    <w:jc w:val="center"/>
                  </w:pPr>
                  <w:r>
                    <w:t>269,1</w:t>
                  </w:r>
                </w:p>
              </w:tc>
              <w:tc>
                <w:p w14:paraId="12C95423">
                  <w:pPr>
                    <w:pStyle w:val="24"/>
                    <w:jc w:val="center"/>
                  </w:pPr>
                  <w:r>
                    <w:t>1,46</w:t>
                  </w:r>
                </w:p>
              </w:tc>
              <w:tc>
                <w:p w14:paraId="78964CD9">
                  <w:pPr>
                    <w:pStyle w:val="24"/>
                    <w:jc w:val="center"/>
                  </w:pPr>
                  <w:r>
                    <w:t>2,39</w:t>
                  </w:r>
                </w:p>
              </w:tc>
            </w:tr>
            <w:bookmarkEnd w:id="31"/>
          </w:tbl>
          <w:p w14:paraId="3941BFD7">
            <w:pPr>
              <w:spacing w:before="0" w:after="0"/>
            </w:pPr>
          </w:p>
        </w:tc>
      </w:tr>
    </w:tbl>
    <w:p w14:paraId="7E7529DC">
      <w:pPr>
        <w:pStyle w:val="3"/>
      </w:pPr>
      <w:r>
        <w:rPr>
          <w:color w:val="000000"/>
        </w:rPr>
        <w:t xml:space="preserve">Antes de interpretar las cifras conviene aclarar el alcance temporal de cada periodo de referencia: la </w:t>
      </w:r>
      <w:r>
        <w:rPr>
          <w:b/>
          <w:bCs/>
          <w:color w:val="000000"/>
        </w:rPr>
        <w:t>degradación</w:t>
      </w:r>
      <w:r>
        <w:rPr>
          <w:color w:val="000000"/>
        </w:rPr>
        <w:t xml:space="preserve"> corresponde al semestre julio–diciembre de 2020 y captura la respuesta espectral del manglar durante el evento humanitario de mortandad asociado a La Niña; la </w:t>
      </w:r>
      <w:r>
        <w:rPr>
          <w:b/>
          <w:bCs/>
          <w:color w:val="000000"/>
        </w:rPr>
        <w:t>recuperación</w:t>
      </w:r>
      <w:r>
        <w:rPr>
          <w:color w:val="000000"/>
        </w:rPr>
        <w:t xml:space="preserve"> corresponde al semestre enero–junio de 2022 y captura la fase de regeneración temprana documentada por INVEMAR (2024); el periodo </w:t>
      </w:r>
      <w:r>
        <w:rPr>
          <w:b/>
          <w:bCs/>
          <w:color w:val="000000"/>
        </w:rPr>
        <w:t>actual</w:t>
      </w:r>
      <w:r>
        <w:rPr>
          <w:color w:val="000000"/>
        </w:rPr>
        <w:t xml:space="preserve"> corresponde al ciclo anual julio 2024 a junio 2025 y constituye un </w:t>
      </w:r>
      <w:r>
        <w:rPr>
          <w:i/>
          <w:iCs/>
          <w:color w:val="000000"/>
        </w:rPr>
        <w:t>instantánea</w:t>
      </w:r>
      <w:r>
        <w:rPr>
          <w:color w:val="000000"/>
        </w:rPr>
        <w:t xml:space="preserve"> 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14:paraId="62BE1EF9">
      <w:pPr>
        <w:pStyle w:val="3"/>
      </w:pPr>
      <w:r>
        <w:rPr>
          <w:color w:val="000000"/>
        </w:rPr>
        <w:t xml:space="preserve">Conviene precisar que la contracción del área clasificada por umbrales no equivale, por sí sola, a pérdida de cobertura del manglar; en efecto, la figura </w:t>
      </w:r>
      <w:r>
        <w:rPr>
          <w:color w:val="000000"/>
        </w:rPr>
        <w:fldChar w:fldCharType="begin"/>
      </w:r>
      <w:r>
        <w:rPr>
          <w:color w:val="000000"/>
        </w:rPr>
        <w:instrText xml:space="preserve"> HYPERLINK \l "fig-ndvi-cambio" \h </w:instrText>
      </w:r>
      <w:r>
        <w:rPr>
          <w:color w:val="000000"/>
        </w:rPr>
        <w:fldChar w:fldCharType="separate"/>
      </w:r>
      <w:r>
        <w:rPr>
          <w:rStyle w:val="16"/>
          <w:color w:val="000000"/>
        </w:rPr>
        <w:t>figura 2</w:t>
      </w:r>
      <w:r>
        <w:rPr>
          <w:rStyle w:val="16"/>
          <w:color w:val="000000"/>
        </w:rPr>
        <w:fldChar w:fldCharType="end"/>
      </w:r>
      <w:r>
        <w:rPr>
          <w:color w:val="000000"/>
        </w:rPr>
        <w:t xml:space="preserve"> ,calculada directamente sobre el datacube trimestral CF-1.8 como diferencia de NDVI mediano entre el periodo actual y el de degradación, muestra que la mayor parte del AOI acotado presenta tonos azules consistentes con </w:t>
      </w:r>
      <w:r>
        <w:rPr>
          <w:b/>
          <w:bCs/>
          <w:color w:val="000000"/>
        </w:rPr>
        <w:t>ganancia de vigor vegetativo</w:t>
      </w:r>
      <w:r>
        <w:rPr>
          <w:color w:val="000000"/>
        </w:rPr>
        <w:t xml:space="preserve"> 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14:paraId="7E851B84">
      <w:pPr>
        <w:pStyle w:val="3"/>
      </w:pPr>
      <w:r>
        <w:rPr>
          <w:color w:val="000000"/>
        </w:rPr>
        <w:t xml:space="preserve">El análisis topológico complementa estas cifras con dos lecturas adicionales sobre los mismos parches. La aplicación del predicado </w:t>
      </w:r>
      <w:r>
        <w:rPr>
          <w:rStyle w:val="36"/>
          <w:color w:val="000000"/>
        </w:rPr>
        <w:t>intersects</w:t>
      </w:r>
      <w:r>
        <w:rPr>
          <w:color w:val="000000"/>
        </w:rPr>
        <w:t xml:space="preserve"> 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 </w:t>
      </w:r>
      <w:r>
        <w:rPr>
          <w:rStyle w:val="36"/>
          <w:color w:val="000000"/>
        </w:rPr>
        <w:t>contains</w:t>
      </w:r>
      <w:r>
        <w:rPr>
          <w:color w:val="000000"/>
        </w:rPr>
        <w:t xml:space="preserve"> 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14:paraId="6C5B6CF5">
      <w:pPr>
        <w:pStyle w:val="3"/>
      </w:pPr>
      <w:r>
        <w:rPr>
          <w:color w:val="000000"/>
        </w:rPr>
        <w:t>El conteo detallado de parches totales y en borde por periodo se reporta en el Anexo F.5.</w:t>
      </w:r>
    </w:p>
    <w:p w14:paraId="5DB9DB6F">
      <w:pPr>
        <w:pStyle w:val="3"/>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 </w:t>
      </w:r>
      <w:r>
        <w:rPr>
          <w:rStyle w:val="36"/>
          <w:color w:val="000000"/>
        </w:rPr>
        <w:t>contains</w:t>
      </w:r>
      <w:r>
        <w:rPr>
          <w:color w:val="000000"/>
        </w:rPr>
        <w:t>–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30"/>
    <w:p w14:paraId="12928273">
      <w:pPr>
        <w:pStyle w:val="4"/>
      </w:pPr>
      <w:bookmarkStart w:id="32" w:name="Xa1e6b85eca4295dcf098131609cba2224fef6d1"/>
      <w:r>
        <w:rPr>
          <w:color w:val="000000"/>
        </w:rPr>
        <w:t>8.6 Clasificación de las ocho estaciones por naturaleza espectral</w:t>
      </w:r>
    </w:p>
    <w:p w14:paraId="6EF02E30">
      <w:pPr>
        <w:pStyle w:val="23"/>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 </w:t>
      </w:r>
      <w:r>
        <w:rPr>
          <w:color w:val="000000"/>
        </w:rPr>
        <w:fldChar w:fldCharType="begin"/>
      </w:r>
      <w:r>
        <w:rPr>
          <w:color w:val="000000"/>
        </w:rPr>
        <w:instrText xml:space="preserve"> HYPERLINK \l "tbl-clasif-estaciones" \h </w:instrText>
      </w:r>
      <w:r>
        <w:rPr>
          <w:color w:val="000000"/>
        </w:rPr>
        <w:fldChar w:fldCharType="separate"/>
      </w:r>
      <w:r>
        <w:rPr>
          <w:rStyle w:val="16"/>
          <w:color w:val="000000"/>
        </w:rPr>
        <w:t>tabla 5</w:t>
      </w:r>
      <w:r>
        <w:rPr>
          <w:rStyle w:val="16"/>
          <w:color w:val="000000"/>
        </w:rPr>
        <w:fldChar w:fldCharType="end"/>
      </w:r>
      <w:r>
        <w:rPr>
          <w:color w:val="000000"/>
        </w:rPr>
        <w:t>).</w:t>
      </w:r>
    </w:p>
    <w:tbl>
      <w:tblPr>
        <w:tblW w:w="5000" w:type="pct"/>
        <w:tblInd w:w="0" w:type="dxa"/>
        <w:tblLayout w:type="autofit"/>
        <w:tblCellMar>
          <w:top w:w="0" w:type="dxa"/>
          <w:left w:w="10" w:type="dxa"/>
          <w:bottom w:w="0" w:type="dxa"/>
          <w:right w:w="1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155374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79BD8080">
            <w:pPr>
              <w:pStyle w:val="33"/>
              <w:spacing w:before="0" w:after="0"/>
              <w:jc w:val="left"/>
            </w:pPr>
            <w:bookmarkStart w:id="33" w:name="tbl-clasif-estaciones"/>
            <w:r>
              <w:rPr>
                <w:b/>
                <w:color w:val="FFFFFF"/>
                <w:sz w:val="20"/>
              </w:rPr>
              <w:t>Tabla 5: Clasificación de las ocho estaciones de muestreo por naturaleza espectral y distancia al AOI.</w:t>
            </w:r>
          </w:p>
          <w:tbl>
            <w:tblPr>
              <w:tblStyle w:val="29"/>
              <w:tblW w:w="5000" w:type="pct"/>
              <w:tblInd w:w="0" w:type="dxa"/>
              <w:tblLayout w:type="autofit"/>
              <w:tblCellMar>
                <w:top w:w="0" w:type="dxa"/>
                <w:left w:w="108" w:type="dxa"/>
                <w:bottom w:w="0" w:type="dxa"/>
                <w:right w:w="108" w:type="dxa"/>
              </w:tblCellMar>
            </w:tblPr>
            <w:tblGrid>
              <w:gridCol w:w="1341"/>
              <w:gridCol w:w="4009"/>
              <w:gridCol w:w="1387"/>
              <w:gridCol w:w="1903"/>
            </w:tblGrid>
            <w:tr w14:paraId="6076D2C7">
              <w:tblPrEx>
                <w:tblCellMar>
                  <w:top w:w="0" w:type="dxa"/>
                  <w:left w:w="108" w:type="dxa"/>
                  <w:bottom w:w="0" w:type="dxa"/>
                  <w:right w:w="108" w:type="dxa"/>
                </w:tblCellMar>
              </w:tblPrEx>
              <w:trPr>
                <w:tblHeader/>
              </w:trPr>
              <w:tc>
                <w:p w14:paraId="24BAB80A">
                  <w:pPr>
                    <w:pStyle w:val="24"/>
                    <w:jc w:val="center"/>
                  </w:pPr>
                  <w:r>
                    <w:t>Naturaleza</w:t>
                  </w:r>
                </w:p>
              </w:tc>
              <w:tc>
                <w:p w14:paraId="0CAA62CE">
                  <w:pPr>
                    <w:pStyle w:val="24"/>
                    <w:jc w:val="center"/>
                  </w:pPr>
                  <w:r>
                    <w:t>Estaciones</w:t>
                  </w:r>
                </w:p>
              </w:tc>
              <w:tc>
                <w:p w14:paraId="332C116F">
                  <w:pPr>
                    <w:pStyle w:val="24"/>
                    <w:jc w:val="center"/>
                  </w:pPr>
                  <w:r>
                    <w:t>NDVI mediano</w:t>
                  </w:r>
                </w:p>
              </w:tc>
              <w:tc>
                <w:p w14:paraId="53951F1D">
                  <w:pPr>
                    <w:pStyle w:val="24"/>
                    <w:jc w:val="center"/>
                  </w:pPr>
                  <w:r>
                    <w:t>Distancia media al AOI</w:t>
                  </w:r>
                </w:p>
              </w:tc>
            </w:tr>
            <w:tr w14:paraId="7362D47C">
              <w:tblPrEx>
                <w:tblCellMar>
                  <w:top w:w="0" w:type="dxa"/>
                  <w:left w:w="108" w:type="dxa"/>
                  <w:bottom w:w="0" w:type="dxa"/>
                  <w:right w:w="108" w:type="dxa"/>
                </w:tblCellMar>
              </w:tblPrEx>
              <w:tc>
                <w:p w14:paraId="5A706C2A">
                  <w:pPr>
                    <w:pStyle w:val="24"/>
                    <w:jc w:val="center"/>
                  </w:pPr>
                  <w:r>
                    <w:t>Manglar</w:t>
                  </w:r>
                </w:p>
              </w:tc>
              <w:tc>
                <w:p w14:paraId="0E2B3779">
                  <w:pPr>
                    <w:pStyle w:val="24"/>
                    <w:jc w:val="center"/>
                  </w:pPr>
                  <w:r>
                    <w:t>Caño Palos, Caño Clarín, CP Aguas Negras, CP Luna</w:t>
                  </w:r>
                </w:p>
              </w:tc>
              <w:tc>
                <w:p w14:paraId="0A608749">
                  <w:pPr>
                    <w:pStyle w:val="24"/>
                    <w:jc w:val="center"/>
                  </w:pPr>
                  <w:r>
                    <w:t>0,59</w:t>
                  </w:r>
                </w:p>
              </w:tc>
              <w:tc>
                <w:p w14:paraId="1E306D62">
                  <w:pPr>
                    <w:pStyle w:val="24"/>
                    <w:jc w:val="center"/>
                  </w:pPr>
                  <w:r>
                    <w:t>1,9 km</w:t>
                  </w:r>
                </w:p>
              </w:tc>
            </w:tr>
            <w:tr w14:paraId="4D68DEF4">
              <w:tblPrEx>
                <w:tblCellMar>
                  <w:top w:w="0" w:type="dxa"/>
                  <w:left w:w="108" w:type="dxa"/>
                  <w:bottom w:w="0" w:type="dxa"/>
                  <w:right w:w="108" w:type="dxa"/>
                </w:tblCellMar>
              </w:tblPrEx>
              <w:tc>
                <w:p w14:paraId="0A2E554A">
                  <w:pPr>
                    <w:pStyle w:val="24"/>
                    <w:jc w:val="center"/>
                  </w:pPr>
                  <w:r>
                    <w:t>Limnológica</w:t>
                  </w:r>
                </w:p>
              </w:tc>
              <w:tc>
                <w:p w14:paraId="193F3FF5">
                  <w:pPr>
                    <w:pStyle w:val="24"/>
                    <w:jc w:val="center"/>
                  </w:pPr>
                  <w:r>
                    <w:t>Isla_Boquerón, Punta_Cerro, Punta_Chino, Rio_Sevilla</w:t>
                  </w:r>
                </w:p>
              </w:tc>
              <w:tc>
                <w:p w14:paraId="5019B15D">
                  <w:pPr>
                    <w:pStyle w:val="24"/>
                    <w:jc w:val="center"/>
                  </w:pPr>
                  <w:r>
                    <w:t>0,21</w:t>
                  </w:r>
                </w:p>
              </w:tc>
              <w:tc>
                <w:p w14:paraId="474B42E7">
                  <w:pPr>
                    <w:pStyle w:val="24"/>
                    <w:jc w:val="center"/>
                  </w:pPr>
                  <w:r>
                    <w:t>4,2 km</w:t>
                  </w:r>
                </w:p>
              </w:tc>
            </w:tr>
            <w:bookmarkEnd w:id="33"/>
          </w:tbl>
          <w:p w14:paraId="3D209A69">
            <w:pPr>
              <w:spacing w:before="0" w:after="0"/>
            </w:pPr>
          </w:p>
        </w:tc>
      </w:tr>
    </w:tbl>
    <w:p w14:paraId="28023850">
      <w:pPr>
        <w:pStyle w:val="3"/>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 </w:t>
      </w:r>
      <m:oMath>
        <m:d>
          <m:dPr>
            <m:begChr m:val="|"/>
            <m:sepChr m:val=""/>
            <m:endChr m:val="|"/>
          </m:dPr>
          <m:e>
            <m:r>
              <m:rPr/>
              <m:t>ρ</m:t>
            </m:r>
          </m:e>
        </m:d>
        <m:r>
          <m:rPr>
            <m:sty m:val="p"/>
          </m:rPr>
          <m:t>&lt;</m:t>
        </m:r>
        <m:r>
          <m:rPr/>
          <m:t>0</m:t>
        </m:r>
        <m:r>
          <m:rPr>
            <m:sty m:val="p"/>
          </m:rPr>
          <m:t>,</m:t>
        </m:r>
        <m:r>
          <m:rPr/>
          <m:t>12</m:t>
        </m:r>
      </m:oMath>
      <w:r>
        <w:rPr>
          <w:color w:val="000000"/>
        </w:rPr>
        <w:t xml:space="preserve"> engañosamente bajo (sección siguiente).</w:t>
      </w:r>
    </w:p>
    <w:bookmarkEnd w:id="32"/>
    <w:p w14:paraId="079A4784">
      <w:pPr>
        <w:pStyle w:val="4"/>
      </w:pPr>
      <w:bookmarkStart w:id="34" w:name="X6e9ecf729376c0dcbad7c2c8d7eb1be3dd47b07"/>
      <w:r>
        <w:rPr>
          <w:color w:val="000000"/>
        </w:rPr>
        <w:t>8.7 Forzamiento climático multifuente: ERA5-Land, ENSO, caudal IDEAM y CHIRPS</w:t>
      </w:r>
    </w:p>
    <w:p w14:paraId="510F7B81">
      <w:pPr>
        <w:pStyle w:val="23"/>
      </w:pPr>
      <w:r>
        <w:rPr>
          <w:color w:val="000000"/>
        </w:rPr>
        <w:t xml:space="preserve">Por </w:t>
      </w:r>
      <w:r>
        <w:rPr>
          <w:i/>
          <w:iCs/>
          <w:color w:val="000000"/>
        </w:rPr>
        <w:t>forzamiento climático</w:t>
      </w:r>
      <w:r>
        <w:rPr>
          <w:color w:val="000000"/>
        </w:rPr>
        <w:t xml:space="preserve"> se entiende toda perturbación externa al ecosistema ,precipitación, temperatura, fase ENSO, caudal fluvial, que altera el balance hídrico y energético del manglar y se asocia, en escalas temporales de meses, a su respuesta espectral medida por NDVI.</w:t>
      </w:r>
    </w:p>
    <w:p w14:paraId="4A2BF60F">
      <w:pPr>
        <w:pStyle w:val="3"/>
      </w:pPr>
      <w:r>
        <w:rPr>
          <w:color w:val="000000"/>
        </w:rPr>
        <w:t xml:space="preserve">Para cerrar la cadena causal </w:t>
      </w:r>
      <w:r>
        <w:rPr>
          <w:i/>
          <w:iCs/>
          <w:color w:val="000000"/>
        </w:rPr>
        <w:t>La Niña → régimen hídrico regional → respuesta del manglar</w:t>
      </w:r>
      <w:r>
        <w:rPr>
          <w:color w:val="000000"/>
        </w:rPr>
        <w:t xml:space="preserve"> con evidencia cuantitativa, se cruzan las anomalías NDVI z-score con cuatro forzamientos complementarios que cubren escalas espaciales y mecanismos físicos distintos: el reanálisis </w:t>
      </w:r>
      <w:r>
        <w:rPr>
          <w:b/>
          <w:bCs/>
          <w:color w:val="000000"/>
        </w:rPr>
        <w:t>ERA5-Land</w:t>
      </w:r>
      <w:r>
        <w:rPr>
          <w:color w:val="000000"/>
        </w:rPr>
        <w:t xml:space="preserve"> del ECMWF (precipitación + temperatura local sobre el píxel del humedal), los </w:t>
      </w:r>
      <w:r>
        <w:rPr>
          <w:b/>
          <w:bCs/>
          <w:color w:val="000000"/>
        </w:rPr>
        <w:t>índices ENSO globales</w:t>
      </w:r>
      <w:r>
        <w:rPr>
          <w:color w:val="000000"/>
        </w:rPr>
        <w:t xml:space="preserve"> del Climate Prediction Center de la NOAA (ONI sobre el Pacífico ecuatorial 3.4 + SOI Tahití–Darwin), el </w:t>
      </w:r>
      <w:r>
        <w:rPr>
          <w:b/>
          <w:bCs/>
          <w:color w:val="000000"/>
        </w:rPr>
        <w:t>caudal IDEAM-DHIME</w:t>
      </w:r>
      <w:r>
        <w:rPr>
          <w:color w:val="000000"/>
        </w:rPr>
        <w:t xml:space="preserve"> del río Magdalena en El Banco y del río Aracataca en Ganadería Caribe (las dos vías hidrológicas independientes que alimentan el sistema), y la </w:t>
      </w:r>
      <w:r>
        <w:rPr>
          <w:b/>
          <w:bCs/>
          <w:color w:val="000000"/>
        </w:rPr>
        <w:t>precipitación satelital CHIRPS</w:t>
      </w:r>
      <w:r>
        <w:rPr>
          <w:color w:val="000000"/>
        </w:rPr>
        <w:t xml:space="preserve"> sobre las dos cuencas aportantes ,Magdalena alta-media y vertiente occidental de la Sierra Nevada,. Todos los cruces se desagregan según la naturaleza espectral de las estaciones (sección anterior) porque el agregado de las ocho cancela las dos señales opuestas.</w:t>
      </w:r>
    </w:p>
    <w:p w14:paraId="585323C8">
      <w:pPr>
        <w:pStyle w:val="3"/>
      </w:pPr>
      <w:r>
        <w:rPr>
          <w:b/>
          <w:bCs/>
          <w:color w:val="000000"/>
        </w:rPr>
        <w:t>ERA5-Land local.</w:t>
      </w:r>
      <w:r>
        <w:rPr>
          <w:color w:val="000000"/>
        </w:rPr>
        <w:t xml:space="preserve"> Sobre las cuatro estaciones de manglar, la anomalía de precipitación ERA5 correlaciona con NDVI a </w:t>
      </w:r>
      <m:oMath>
        <m:r>
          <m:rPr/>
          <m:t>ρ</m:t>
        </m:r>
        <m:r>
          <m:rPr>
            <m:sty m:val="p"/>
          </m:rPr>
          <m:t>=−</m:t>
        </m:r>
        <m:r>
          <m:rPr/>
          <m:t>0</m:t>
        </m:r>
        <m:r>
          <m:rPr>
            <m:sty m:val="p"/>
          </m:rPr>
          <m:t>,</m:t>
        </m:r>
        <m:r>
          <m:rPr/>
          <m:t>123</m:t>
        </m:r>
      </m:oMath>
      <w:r>
        <w:rPr>
          <w:color w:val="000000"/>
        </w:rPr>
        <w:t xml:space="preserve"> 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 </w:t>
      </w:r>
      <m:oMath>
        <m:r>
          <m:rPr/>
          <m:t>ρ</m:t>
        </m:r>
        <m:r>
          <m:rPr>
            <m:sty m:val="p"/>
          </m:rPr>
          <m:t>=+</m:t>
        </m:r>
        <m:r>
          <m:rPr/>
          <m:t>0</m:t>
        </m:r>
        <m:r>
          <m:rPr>
            <m:sty m:val="p"/>
          </m:rPr>
          <m:t>,</m:t>
        </m:r>
        <m:r>
          <m:rPr/>
          <m:t>292</m:t>
        </m:r>
      </m:oMath>
      <w:r>
        <w:rPr>
          <w:color w:val="000000"/>
        </w:rPr>
        <w:t>,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14:paraId="326CE5E0">
      <w:pPr>
        <w:pStyle w:val="3"/>
      </w:pPr>
      <w:r>
        <w:rPr>
          <w:b/>
          <w:bCs/>
          <w:color w:val="000000"/>
        </w:rPr>
        <w:t>ENSO global (ONI y SOI de NOAA).</w:t>
      </w:r>
      <w:r>
        <w:rPr>
          <w:color w:val="000000"/>
        </w:rPr>
        <w:t xml:space="preserve"> La descarga directa de los índices mensuales del CPC permite complementar el forzamiento ERA5-Land con una medida del estado de fondo de la oscilación del Pacífico, evitando el promediado espacial sobre el AOI. La figura </w:t>
      </w:r>
      <w:r>
        <w:rPr>
          <w:color w:val="000000"/>
        </w:rPr>
        <w:fldChar w:fldCharType="begin"/>
      </w:r>
      <w:r>
        <w:rPr>
          <w:color w:val="000000"/>
        </w:rPr>
        <w:instrText xml:space="preserve"> HYPERLINK \l "fig-enso-serie" \h </w:instrText>
      </w:r>
      <w:r>
        <w:rPr>
          <w:color w:val="000000"/>
        </w:rPr>
        <w:fldChar w:fldCharType="separate"/>
      </w:r>
      <w:r>
        <w:rPr>
          <w:rStyle w:val="16"/>
          <w:color w:val="000000"/>
        </w:rPr>
        <w:t>figura 5</w:t>
      </w:r>
      <w:r>
        <w:rPr>
          <w:rStyle w:val="16"/>
          <w:color w:val="000000"/>
        </w:rPr>
        <w:fldChar w:fldCharType="end"/>
      </w:r>
      <w:r>
        <w:rPr>
          <w:color w:val="000000"/>
        </w:rPr>
        <w:t xml:space="preserve"> muestra El Niño 2015–2016 ,ONI máximo +2,75, SOI mínimo –3,6, y el episodio La Niña 2020–2022 sostenido con ONI entre –0,5 y –1,2 durante casi dos años. El SOI emerge como mejor predictor que el ONI sobre ambos grupos de estaciones (Anexo F.11), con </w:t>
      </w:r>
      <m:oMath>
        <m:sSub>
          <m:sSubPr/>
          <m:e>
            <m:r>
              <m:rPr/>
              <m:t>ρ</m:t>
            </m:r>
          </m:e>
          <m:sub>
            <m:r>
              <m:rPr>
                <m:nor/>
                <m:sty m:val="p"/>
              </m:rPr>
              <w:rPr>
                <w:b w:val="0"/>
                <w:i w:val="0"/>
              </w:rPr>
              <m:t>SOI</m:t>
            </m:r>
          </m:sub>
        </m:sSub>
      </m:oMath>
      <w:r>
        <w:rPr>
          <w:color w:val="000000"/>
        </w:rPr>
        <w:t xml:space="preserve"> entre +0,12 y +0,20 a través de los cuatro rezagos. Sobre el manglar, el SOI correlaciona positivamente con NDVI (</w:t>
      </w:r>
      <m:oMath>
        <m:r>
          <m:rPr/>
          <m:t>ρ</m:t>
        </m:r>
        <m:r>
          <m:rPr>
            <m:sty m:val="p"/>
          </m:rPr>
          <m:t>=+</m:t>
        </m:r>
        <m:r>
          <m:rPr/>
          <m:t>0</m:t>
        </m:r>
        <m:r>
          <m:rPr>
            <m:sty m:val="p"/>
          </m:rPr>
          <m:t>,</m:t>
        </m:r>
        <m:r>
          <m:rPr/>
          <m:t>146</m:t>
        </m:r>
      </m:oMath>
      <w:r>
        <w:rPr>
          <w:color w:val="000000"/>
        </w:rPr>
        <w:t xml:space="preserve"> en rezago de dos meses), signo opuesto al de la precipitación ERA5-Land local sobre el mismo grupo (</w:t>
      </w:r>
      <m:oMath>
        <m:sSub>
          <m:sSubPr/>
          <m:e>
            <m:r>
              <m:rPr/>
              <m:t>ρ</m:t>
            </m:r>
          </m:e>
          <m:sub>
            <m:r>
              <m:rPr>
                <m:nor/>
                <m:sty m:val="p"/>
              </m:rPr>
              <w:rPr>
                <w:b w:val="0"/>
                <w:i w:val="0"/>
              </w:rPr>
              <m:t>precip</m:t>
            </m:r>
          </m:sub>
        </m:sSub>
        <m:r>
          <m:rPr>
            <m:sty m:val="p"/>
          </m:rPr>
          <m:t>=−</m:t>
        </m:r>
        <m:r>
          <m:rPr/>
          <m:t>0</m:t>
        </m:r>
        <m:r>
          <m:rPr>
            <m:sty m:val="p"/>
          </m:rPr>
          <m:t>,</m:t>
        </m:r>
        <m:r>
          <m:rPr/>
          <m:t>123</m:t>
        </m:r>
      </m:oMath>
      <w:r>
        <w:rPr>
          <w:color w:val="000000"/>
        </w:rPr>
        <w:t>).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0DAF6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685DD40B">
            <w:pPr>
              <w:pStyle w:val="24"/>
              <w:jc w:val="center"/>
            </w:pPr>
            <w:bookmarkStart w:id="35" w:name="fig-enso-serie"/>
            <w:r>
              <w:rPr>
                <w:color w:val="000000"/>
              </w:rPr>
              <w:drawing>
                <wp:inline distT="0" distB="0" distL="114300" distR="114300">
                  <wp:extent cx="4267200" cy="1752600"/>
                  <wp:effectExtent l="0" t="0" r="0" b="0"/>
                  <wp:docPr id="6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pic:cNvPicPr>
                            <a:picLocks noChangeAspect="1" noChangeArrowheads="1"/>
                          </pic:cNvPicPr>
                        </pic:nvPicPr>
                        <pic:blipFill>
                          <a:blip r:embed="rId8"/>
                          <a:stretch>
                            <a:fillRect/>
                          </a:stretch>
                        </pic:blipFill>
                        <pic:spPr>
                          <a:xfrm>
                            <a:off x="0" y="0"/>
                            <a:ext cx="4267200" cy="1752760"/>
                          </a:xfrm>
                          <a:prstGeom prst="rect">
                            <a:avLst/>
                          </a:prstGeom>
                          <a:noFill/>
                          <a:ln>
                            <a:noFill/>
                          </a:ln>
                        </pic:spPr>
                      </pic:pic>
                    </a:graphicData>
                  </a:graphic>
                </wp:inline>
              </w:drawing>
            </w:r>
          </w:p>
          <w:p w14:paraId="081DC015">
            <w:pPr>
              <w:pStyle w:val="33"/>
              <w:spacing w:before="200"/>
              <w:jc w:val="left"/>
            </w:pPr>
            <w:r>
              <w:rPr>
                <w:color w:val="000000"/>
              </w:rPr>
              <w:t>Figura 5: Índices ENSO mensuales (ONI y SOI, NOAA CPC) sobre el periodo 2013–2025. Las franjas sombreadas marcan El Niño 2015–2016 y La Niña 2020–2022.</w:t>
            </w:r>
          </w:p>
          <w:bookmarkEnd w:id="35"/>
        </w:tc>
      </w:tr>
    </w:tbl>
    <w:p w14:paraId="6F7C663B">
      <w:pPr>
        <w:pStyle w:val="3"/>
      </w:pPr>
      <w:r>
        <w:rPr>
          <w:color w:val="000000"/>
        </w:rPr>
        <w:t>El detalle por rezago y naturaleza espectral se reporta en el Anexo F.11 del documento complementario.</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260291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6C1ABCCE">
            <w:pPr>
              <w:pStyle w:val="24"/>
              <w:jc w:val="center"/>
            </w:pPr>
            <w:bookmarkStart w:id="36" w:name="fig-enso-correlación"/>
            <w:r>
              <w:rPr>
                <w:color w:val="000000"/>
              </w:rPr>
              <w:drawing>
                <wp:inline distT="0" distB="0" distL="114300" distR="114300">
                  <wp:extent cx="4267200" cy="1664335"/>
                  <wp:effectExtent l="0" t="0" r="0" b="0"/>
                  <wp:docPr id="6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pic:cNvPicPr>
                            <a:picLocks noChangeAspect="1" noChangeArrowheads="1"/>
                          </pic:cNvPicPr>
                        </pic:nvPicPr>
                        <pic:blipFill>
                          <a:blip r:embed="rId9"/>
                          <a:stretch>
                            <a:fillRect/>
                          </a:stretch>
                        </pic:blipFill>
                        <pic:spPr>
                          <a:xfrm>
                            <a:off x="0" y="0"/>
                            <a:ext cx="4267200" cy="1664854"/>
                          </a:xfrm>
                          <a:prstGeom prst="rect">
                            <a:avLst/>
                          </a:prstGeom>
                          <a:noFill/>
                          <a:ln>
                            <a:noFill/>
                          </a:ln>
                        </pic:spPr>
                      </pic:pic>
                    </a:graphicData>
                  </a:graphic>
                </wp:inline>
              </w:drawing>
            </w:r>
          </w:p>
          <w:p w14:paraId="3ED6A22D">
            <w:pPr>
              <w:pStyle w:val="33"/>
              <w:spacing w:before="200"/>
              <w:jc w:val="left"/>
            </w:pPr>
            <w:r>
              <w:rPr>
                <w:color w:val="000000"/>
              </w:rPr>
              <w:t>Figura 6: Correlación entre índices ENSO globales (ONI rojo, SOI azul) y anomalías NDVI z-score, desagregada por naturaleza espectral, rezagos 0–3 meses.</w:t>
            </w:r>
          </w:p>
          <w:bookmarkEnd w:id="36"/>
        </w:tc>
      </w:tr>
    </w:tbl>
    <w:p w14:paraId="12EA8843">
      <w:pPr>
        <w:pStyle w:val="3"/>
      </w:pPr>
      <w:r>
        <w:rPr>
          <w:b/>
          <w:bCs/>
          <w:color w:val="000000"/>
        </w:rPr>
        <w:t>Caudal IDEAM-DHIME.</w:t>
      </w:r>
      <w:r>
        <w:rPr>
          <w:color w:val="000000"/>
        </w:rPr>
        <w:t xml:space="preserve"> 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rPr/>
          <m:t>ρ</m:t>
        </m:r>
        <m:r>
          <m:rPr>
            <m:sty m:val="p"/>
          </m:rPr>
          <m:t>=+</m:t>
        </m:r>
        <m:r>
          <m:rPr/>
          <m:t>0</m:t>
        </m:r>
        <m:r>
          <m:rPr>
            <m:sty m:val="p"/>
          </m:rPr>
          <m:t>,</m:t>
        </m:r>
        <m:r>
          <m:rPr/>
          <m:t>256</m:t>
        </m:r>
      </m:oMath>
      <w:r>
        <w:rPr>
          <w:color w:val="000000"/>
        </w:rPr>
        <w:t>, n = 71) y en Ganadería Caribe con manglar a un mes (</w:t>
      </w:r>
      <m:oMath>
        <m:r>
          <m:rPr/>
          <m:t>ρ</m:t>
        </m:r>
        <m:r>
          <m:rPr>
            <m:sty m:val="p"/>
          </m:rPr>
          <m:t>=+</m:t>
        </m:r>
        <m:r>
          <m:rPr/>
          <m:t>0</m:t>
        </m:r>
        <m:r>
          <m:rPr>
            <m:sty m:val="p"/>
          </m:rPr>
          <m:t>,</m:t>
        </m:r>
        <m:r>
          <m:rPr/>
          <m:t>224</m:t>
        </m:r>
      </m:oMath>
      <w:r>
        <w:rPr>
          <w:color w:val="000000"/>
        </w:rPr>
        <w:t xml:space="preserve">, n = 67). El signo positivo universal indica que </w:t>
      </w:r>
      <w:r>
        <w:rPr>
          <w:b/>
          <w:bCs/>
          <w:color w:val="000000"/>
        </w:rPr>
        <w:t>mayor caudal sostenido se asocia con NDVI más alto</w:t>
      </w:r>
      <w:r>
        <w:rPr>
          <w:color w:val="000000"/>
        </w:rPr>
        <w:t>,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rPr/>
          <m:t>z</m:t>
        </m:r>
        <m:r>
          <m:rPr>
            <m:sty m:val="p"/>
          </m:rPr>
          <m:t>&gt;+</m:t>
        </m:r>
        <m:r>
          <m:rPr/>
          <m:t>2</m:t>
        </m:r>
      </m:oMath>
      <w:r>
        <w:rPr>
          <w:color w:val="000000"/>
        </w:rPr>
        <w:t>) se concentran en 2022, no en septiembre 2020, así el pico fluvial del periodo La Niña ocurrió de manera tardía, después del evento de mortandad.</w:t>
      </w:r>
    </w:p>
    <w:p w14:paraId="24F09D45">
      <w:pPr>
        <w:pStyle w:val="3"/>
      </w:pPr>
      <w:r>
        <w:rPr>
          <w:color w:val="000000"/>
        </w:rPr>
        <w:t>El detalle por estación, naturaleza espectral y rezago temporal se reporta en el Anexo F.12 del documento complementario.</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33913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B428753">
            <w:pPr>
              <w:pStyle w:val="24"/>
              <w:jc w:val="center"/>
            </w:pPr>
            <w:bookmarkStart w:id="37" w:name="fig-caudal-series"/>
            <w:r>
              <w:rPr>
                <w:color w:val="000000"/>
              </w:rPr>
              <w:drawing>
                <wp:inline distT="0" distB="0" distL="114300" distR="114300">
                  <wp:extent cx="4267200" cy="2355850"/>
                  <wp:effectExtent l="0" t="0" r="0" b="0"/>
                  <wp:docPr id="7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0"/>
                          <a:stretch>
                            <a:fillRect/>
                          </a:stretch>
                        </pic:blipFill>
                        <pic:spPr>
                          <a:xfrm>
                            <a:off x="0" y="0"/>
                            <a:ext cx="4267200" cy="2356143"/>
                          </a:xfrm>
                          <a:prstGeom prst="rect">
                            <a:avLst/>
                          </a:prstGeom>
                          <a:noFill/>
                          <a:ln>
                            <a:noFill/>
                          </a:ln>
                        </pic:spPr>
                      </pic:pic>
                    </a:graphicData>
                  </a:graphic>
                </wp:inline>
              </w:drawing>
            </w:r>
          </w:p>
          <w:p w14:paraId="084CFEF6">
            <w:pPr>
              <w:pStyle w:val="33"/>
              <w:spacing w:before="200"/>
              <w:jc w:val="left"/>
            </w:pPr>
            <w:r>
              <w:rPr>
                <w:color w:val="000000"/>
              </w:rPr>
              <w:t>Figura 7: Anomalía z-score del caudal mensual IDEAM para el río Magdalena en El Banco y el río Aracataca en Ganadería Caribe, 2013–2025. Los picos extremos (</w:t>
            </w:r>
            <m:oMath>
              <m:r>
                <m:rPr/>
                <m:t>z</m:t>
              </m:r>
              <m:r>
                <m:rPr>
                  <m:sty m:val="p"/>
                </m:rPr>
                <m:t>&gt;+</m:t>
              </m:r>
              <m:r>
                <m:rPr/>
                <m:t>2</m:t>
              </m:r>
            </m:oMath>
            <w:r>
              <w:rPr>
                <w:color w:val="000000"/>
              </w:rPr>
              <w:t>) ocurren en 2022, no en 2020.</w:t>
            </w:r>
          </w:p>
          <w:bookmarkEnd w:id="37"/>
        </w:tc>
      </w:tr>
    </w:tbl>
    <w:p w14:paraId="63424E0B">
      <w:pPr>
        <w:pStyle w:val="3"/>
      </w:pPr>
      <w:r>
        <w:rPr>
          <w:color w:val="000000"/>
        </w:rPr>
        <w:t xml:space="preserve"> </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168DB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6D4DF672">
            <w:pPr>
              <w:pStyle w:val="24"/>
              <w:jc w:val="center"/>
            </w:pPr>
            <w:bookmarkStart w:id="38" w:name="fig-caudal-correlación"/>
            <w:r>
              <w:rPr>
                <w:color w:val="000000"/>
              </w:rPr>
              <w:drawing>
                <wp:inline distT="0" distB="0" distL="114300" distR="114300">
                  <wp:extent cx="4267200" cy="1705610"/>
                  <wp:effectExtent l="0" t="0" r="0" b="0"/>
                  <wp:docPr id="7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pic:cNvPicPr>
                            <a:picLocks noChangeAspect="1" noChangeArrowheads="1"/>
                          </pic:cNvPicPr>
                        </pic:nvPicPr>
                        <pic:blipFill>
                          <a:blip r:embed="rId11"/>
                          <a:stretch>
                            <a:fillRect/>
                          </a:stretch>
                        </pic:blipFill>
                        <pic:spPr>
                          <a:xfrm>
                            <a:off x="0" y="0"/>
                            <a:ext cx="4267200" cy="1706217"/>
                          </a:xfrm>
                          <a:prstGeom prst="rect">
                            <a:avLst/>
                          </a:prstGeom>
                          <a:noFill/>
                          <a:ln>
                            <a:noFill/>
                          </a:ln>
                        </pic:spPr>
                      </pic:pic>
                    </a:graphicData>
                  </a:graphic>
                </wp:inline>
              </w:drawing>
            </w:r>
          </w:p>
          <w:p w14:paraId="12F7C1BB">
            <w:pPr>
              <w:pStyle w:val="33"/>
              <w:spacing w:before="200"/>
              <w:jc w:val="left"/>
            </w:pPr>
            <w:r>
              <w:rPr>
                <w:color w:val="000000"/>
              </w:rPr>
              <w:t>Figura 8: Correlación de Pearson entre anomalía de caudal IDEAM y NDVI z-score por estación hidrológica, naturaleza espectral y rezago 0–3 meses.</w:t>
            </w:r>
          </w:p>
          <w:bookmarkEnd w:id="38"/>
        </w:tc>
      </w:tr>
    </w:tbl>
    <w:p w14:paraId="4D49125A">
      <w:pPr>
        <w:pStyle w:val="3"/>
      </w:pPr>
      <w:r>
        <w:rPr>
          <w:b/>
          <w:bCs/>
          <w:color w:val="000000"/>
        </w:rPr>
        <w:t>CHIRPS sobre cuencas aportantes (validación independiente).</w:t>
      </w:r>
      <w:r>
        <w:rPr>
          <w:color w:val="000000"/>
        </w:rPr>
        <w:t xml:space="preserve"> 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sSubPr/>
          <m:e>
            <m:r>
              <m:rPr/>
              <m:t>ρ</m:t>
            </m:r>
          </m:e>
          <m:sub>
            <m:r>
              <m:rPr>
                <m:nor/>
                <m:sty m:val="p"/>
              </m:rPr>
              <w:rPr>
                <w:b w:val="0"/>
                <w:i w:val="0"/>
              </w:rPr>
              <m:t>CHIRPS</m:t>
            </m:r>
          </m:sub>
        </m:sSub>
        <m:r>
          <m:rPr>
            <m:sty m:val="p"/>
          </m:rPr>
          <m:t>=+</m:t>
        </m:r>
        <m:r>
          <m:rPr/>
          <m:t>0</m:t>
        </m:r>
        <m:r>
          <m:rPr>
            <m:sty m:val="p"/>
          </m:rPr>
          <m:t>,</m:t>
        </m:r>
        <m:r>
          <m:rPr/>
          <m:t>252</m:t>
        </m:r>
      </m:oMath>
      <w:r>
        <w:rPr>
          <w:color w:val="000000"/>
        </w:rPr>
        <w:t xml:space="preserve"> vs </w:t>
      </w:r>
      <m:oMath>
        <m:sSub>
          <m:sSubPr/>
          <m:e>
            <m:r>
              <m:rPr/>
              <m:t>ρ</m:t>
            </m:r>
          </m:e>
          <m:sub>
            <m:r>
              <m:rPr>
                <m:nor/>
                <m:sty m:val="p"/>
              </m:rPr>
              <w:rPr>
                <w:b w:val="0"/>
                <w:i w:val="0"/>
              </w:rPr>
              <m:t>IDEAM</m:t>
            </m:r>
          </m:sub>
        </m:sSub>
        <m:r>
          <m:rPr>
            <m:sty m:val="p"/>
          </m:rPr>
          <m:t>=+</m:t>
        </m:r>
        <m:r>
          <m:rPr/>
          <m:t>0</m:t>
        </m:r>
        <m:r>
          <m:rPr>
            <m:sty m:val="p"/>
          </m:rPr>
          <m:t>,</m:t>
        </m:r>
        <m:r>
          <m:rPr/>
          <m:t>256</m:t>
        </m:r>
      </m:oMath>
      <w:r>
        <w:rPr>
          <w:color w:val="000000"/>
        </w:rPr>
        <w:t>) y con la Sierra Nevada al mismo rezago (</w:t>
      </w:r>
      <m:oMath>
        <m:sSub>
          <m:sSubPr/>
          <m:e>
            <m:r>
              <m:rPr/>
              <m:t>ρ</m:t>
            </m:r>
          </m:e>
          <m:sub>
            <m:r>
              <m:rPr>
                <m:nor/>
                <m:sty m:val="p"/>
              </m:rPr>
              <w:rPr>
                <w:b w:val="0"/>
                <w:i w:val="0"/>
              </w:rPr>
              <m:t>CHIRPS</m:t>
            </m:r>
          </m:sub>
        </m:sSub>
        <m:r>
          <m:rPr>
            <m:sty m:val="p"/>
          </m:rPr>
          <m:t>=+</m:t>
        </m:r>
        <m:r>
          <m:rPr/>
          <m:t>0</m:t>
        </m:r>
        <m:r>
          <m:rPr>
            <m:sty m:val="p"/>
          </m:rPr>
          <m:t>,</m:t>
        </m:r>
        <m:r>
          <m:rPr/>
          <m:t>281</m:t>
        </m:r>
      </m:oMath>
      <w:r>
        <w:rPr>
          <w:color w:val="000000"/>
        </w:rPr>
        <w:t xml:space="preserve">). Esta </w:t>
      </w:r>
      <w:r>
        <w:rPr>
          <w:b/>
          <w:bCs/>
          <w:color w:val="000000"/>
        </w:rPr>
        <w:t>doble validación</w:t>
      </w:r>
      <w:r>
        <w:rPr>
          <w:color w:val="000000"/>
        </w:rPr>
        <w:t>, caudal hidrométrico medido y precipitación satelital sobre la misma cuenca, confirma que el aporte hídrico sostenido es beneficioso para el manglar en escalas de uno a tres meses.</w:t>
      </w:r>
    </w:p>
    <w:p w14:paraId="450993FC">
      <w:pPr>
        <w:pStyle w:val="3"/>
      </w:pPr>
      <w:r>
        <w:rPr>
          <w:color w:val="000000"/>
        </w:rPr>
        <w:t>El detalle por cuenca, naturaleza espectral y rezago temporal se reporta en el Anexo F.13 del documento complementario.</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0220F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Borders>
              <w:top w:val="nil"/>
              <w:left w:val="nil"/>
              <w:bottom w:val="nil"/>
              <w:right w:val="nil"/>
            </w:tcBorders>
          </w:tcPr>
          <w:p w14:paraId="1C6D8209">
            <w:pPr>
              <w:pStyle w:val="24"/>
              <w:jc w:val="center"/>
            </w:pPr>
            <w:bookmarkStart w:id="39" w:name="fig-chirps-series"/>
            <w:r>
              <w:rPr>
                <w:color w:val="000000"/>
              </w:rPr>
              <w:drawing>
                <wp:inline distT="0" distB="0" distL="114300" distR="114300">
                  <wp:extent cx="4267200" cy="2552700"/>
                  <wp:effectExtent l="0" t="0" r="0" b="0"/>
                  <wp:docPr id="8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pic:cNvPicPr>
                            <a:picLocks noChangeAspect="1" noChangeArrowheads="1"/>
                          </pic:cNvPicPr>
                        </pic:nvPicPr>
                        <pic:blipFill>
                          <a:blip r:embed="rId12"/>
                          <a:stretch>
                            <a:fillRect/>
                          </a:stretch>
                        </pic:blipFill>
                        <pic:spPr>
                          <a:xfrm>
                            <a:off x="0" y="0"/>
                            <a:ext cx="4267200" cy="2553148"/>
                          </a:xfrm>
                          <a:prstGeom prst="rect">
                            <a:avLst/>
                          </a:prstGeom>
                          <a:noFill/>
                          <a:ln>
                            <a:noFill/>
                          </a:ln>
                        </pic:spPr>
                      </pic:pic>
                    </a:graphicData>
                  </a:graphic>
                </wp:inline>
              </w:drawing>
            </w:r>
          </w:p>
          <w:p w14:paraId="0B3152E5">
            <w:pPr>
              <w:pStyle w:val="33"/>
              <w:spacing w:before="200"/>
              <w:jc w:val="left"/>
            </w:pPr>
            <w:r>
              <w:rPr>
                <w:color w:val="000000"/>
              </w:rPr>
              <w:t xml:space="preserve">Figura 9: Anomalías mensuales CHIRPS sobre las dos cuencas aportantes a la CGSM, 2013–2025. Los picos extremos </w:t>
            </w:r>
            <m:oMath>
              <m:r>
                <m:rPr/>
                <m:t>z</m:t>
              </m:r>
              <m:r>
                <m:rPr>
                  <m:sty m:val="p"/>
                </m:rPr>
                <m:t>&gt;+</m:t>
              </m:r>
              <m:r>
                <m:rPr/>
                <m:t>2</m:t>
              </m:r>
            </m:oMath>
            <w:r>
              <w:rPr>
                <w:color w:val="000000"/>
              </w:rPr>
              <w:t xml:space="preserve"> se concentran en 2022, en línea con los caudales IDEAM (figura </w:t>
            </w:r>
            <w:r>
              <w:rPr>
                <w:color w:val="000000"/>
              </w:rPr>
              <w:fldChar w:fldCharType="begin"/>
            </w:r>
            <w:r>
              <w:rPr>
                <w:color w:val="000000"/>
              </w:rPr>
              <w:instrText xml:space="preserve"> HYPERLINK \l "fig-caudal-series" \h </w:instrText>
            </w:r>
            <w:r>
              <w:rPr>
                <w:color w:val="000000"/>
              </w:rPr>
              <w:fldChar w:fldCharType="separate"/>
            </w:r>
            <w:r>
              <w:rPr>
                <w:rStyle w:val="16"/>
                <w:color w:val="000000"/>
              </w:rPr>
              <w:t>figura 7</w:t>
            </w:r>
            <w:r>
              <w:rPr>
                <w:rStyle w:val="16"/>
                <w:color w:val="000000"/>
              </w:rPr>
              <w:fldChar w:fldCharType="end"/>
            </w:r>
            <w:r>
              <w:rPr>
                <w:color w:val="000000"/>
              </w:rPr>
              <w:t>).</w:t>
            </w:r>
          </w:p>
          <w:bookmarkEnd w:id="39"/>
        </w:tc>
      </w:tr>
    </w:tbl>
    <w:p w14:paraId="60EC5406">
      <w:pPr>
        <w:pStyle w:val="3"/>
      </w:pPr>
      <w:r>
        <w:rPr>
          <w:color w:val="000000"/>
        </w:rPr>
        <w:t xml:space="preserve"> </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50ABB9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F90C757">
            <w:pPr>
              <w:pStyle w:val="24"/>
              <w:jc w:val="center"/>
            </w:pPr>
            <w:bookmarkStart w:id="40" w:name="fig-chirps-correlación"/>
            <w:r>
              <w:rPr>
                <w:color w:val="000000"/>
              </w:rPr>
              <w:drawing>
                <wp:inline distT="0" distB="0" distL="114300" distR="114300">
                  <wp:extent cx="4267200" cy="2918460"/>
                  <wp:effectExtent l="0" t="0" r="0" b="0"/>
                  <wp:docPr id="8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3"/>
                          <a:stretch>
                            <a:fillRect/>
                          </a:stretch>
                        </pic:blipFill>
                        <pic:spPr>
                          <a:xfrm>
                            <a:off x="0" y="0"/>
                            <a:ext cx="4267200" cy="2919001"/>
                          </a:xfrm>
                          <a:prstGeom prst="rect">
                            <a:avLst/>
                          </a:prstGeom>
                          <a:noFill/>
                          <a:ln>
                            <a:noFill/>
                          </a:ln>
                        </pic:spPr>
                      </pic:pic>
                    </a:graphicData>
                  </a:graphic>
                </wp:inline>
              </w:drawing>
            </w:r>
          </w:p>
          <w:p w14:paraId="154C07C0">
            <w:pPr>
              <w:pStyle w:val="33"/>
              <w:spacing w:before="200"/>
              <w:jc w:val="left"/>
            </w:pPr>
            <w:r>
              <w:rPr>
                <w:color w:val="000000"/>
              </w:rPr>
              <w:t xml:space="preserve">Figura 10: Correlación de Pearson entre anomalía mensual CHIRPS y NDVI z-score por cuenca y naturaleza espectral. La convergencia con el caudal IDEAM (figura </w:t>
            </w:r>
            <w:r>
              <w:rPr>
                <w:color w:val="000000"/>
              </w:rPr>
              <w:fldChar w:fldCharType="begin"/>
            </w:r>
            <w:r>
              <w:rPr>
                <w:color w:val="000000"/>
              </w:rPr>
              <w:instrText xml:space="preserve"> HYPERLINK \l "fig-caudal-correlación" \h </w:instrText>
            </w:r>
            <w:r>
              <w:rPr>
                <w:color w:val="000000"/>
              </w:rPr>
              <w:fldChar w:fldCharType="separate"/>
            </w:r>
            <w:r>
              <w:rPr>
                <w:rStyle w:val="16"/>
                <w:color w:val="000000"/>
              </w:rPr>
              <w:t>figura 8</w:t>
            </w:r>
            <w:r>
              <w:rPr>
                <w:rStyle w:val="16"/>
                <w:color w:val="000000"/>
              </w:rPr>
              <w:fldChar w:fldCharType="end"/>
            </w:r>
            <w:r>
              <w:rPr>
                <w:color w:val="000000"/>
              </w:rPr>
              <w:t>) ofrece doble validación.</w:t>
            </w:r>
          </w:p>
          <w:bookmarkEnd w:id="40"/>
        </w:tc>
      </w:tr>
    </w:tbl>
    <w:p w14:paraId="46605075">
      <w:pPr>
        <w:pStyle w:val="3"/>
      </w:pPr>
      <w:r>
        <w:rPr>
          <w:b/>
          <w:bCs/>
          <w:color w:val="000000"/>
        </w:rPr>
        <w:t>Síntesis: reformulación de la cadena causal en cuatro pasos.</w:t>
      </w:r>
      <w:r>
        <w:rPr>
          <w:color w:val="000000"/>
        </w:rPr>
        <w:t xml:space="preserve"> La convergencia de las cuatro fuentes obliga a matizar la lectura ingenua del evento de septiembre 2020:</w:t>
      </w:r>
    </w:p>
    <w:p w14:paraId="22837FCD">
      <w:pPr>
        <w:pStyle w:val="24"/>
        <w:numPr>
          <w:ilvl w:val="0"/>
          <w:numId w:val="2"/>
        </w:numPr>
      </w:pPr>
      <w:r>
        <w:rPr>
          <w:color w:val="000000"/>
        </w:rPr>
        <w:t>El episodio La Niña 2020–2021 induce un régimen prolongado de mayor precipitación regional, visible en ERA5, ENSO (SOI positivo), caudal y CHIRPS, que se acumula progresivamente en los caudales fluviales hasta alcanzar valores extremos en 2022.</w:t>
      </w:r>
    </w:p>
    <w:p w14:paraId="0484A94B">
      <w:pPr>
        <w:pStyle w:val="24"/>
        <w:numPr>
          <w:ilvl w:val="0"/>
          <w:numId w:val="2"/>
        </w:numPr>
      </w:pPr>
      <w:r>
        <w:rPr>
          <w:color w:val="000000"/>
        </w:rPr>
        <w:t xml:space="preserve">El aporte sostenido de caudal en la mayor parte del periodo es </w:t>
      </w:r>
      <w:r>
        <w:rPr>
          <w:b/>
          <w:bCs/>
          <w:color w:val="000000"/>
        </w:rPr>
        <w:t>beneficioso</w:t>
      </w:r>
      <w:r>
        <w:rPr>
          <w:color w:val="000000"/>
        </w:rPr>
        <w:t xml:space="preserve"> para el manglar pues reduce la hipersalinización del sustrato, lo que explica las correlaciones positivas universales con NDVI tanto en IDEAM como en CHIRPS.</w:t>
      </w:r>
    </w:p>
    <w:p w14:paraId="5D4B040A">
      <w:pPr>
        <w:pStyle w:val="24"/>
        <w:numPr>
          <w:ilvl w:val="0"/>
          <w:numId w:val="2"/>
        </w:numPr>
      </w:pPr>
      <w:r>
        <w:rPr>
          <w:color w:val="000000"/>
        </w:rPr>
        <w:t xml:space="preserve">El evento puntual de mortandad de septiembre 2020 </w:t>
      </w:r>
      <w:r>
        <w:rPr>
          <w:b/>
          <w:bCs/>
          <w:color w:val="000000"/>
        </w:rPr>
        <w:t>no se explica por un pico de caudal simultáneo</w:t>
      </w:r>
      <w:r>
        <w:rPr>
          <w:color w:val="000000"/>
        </w:rPr>
        <w:t>, que no existe en las series IDEAM, sino por un mecanismo distinto: la lluvia local intensa sobre el píxel del humedal (</w:t>
      </w:r>
      <m:oMath>
        <m:sSub>
          <m:sSubPr/>
          <m:e>
            <m:r>
              <m:rPr/>
              <m:t>ρ</m:t>
            </m:r>
          </m:e>
          <m:sub>
            <m:r>
              <m:rPr>
                <m:nor/>
                <m:sty m:val="p"/>
              </m:rPr>
              <w:rPr>
                <w:b w:val="0"/>
                <w:i w:val="0"/>
              </w:rPr>
              <m:t>ERA5</m:t>
            </m:r>
          </m:sub>
        </m:sSub>
        <m:r>
          <m:rPr>
            <m:sty m:val="p"/>
          </m:rPr>
          <m:t>=−</m:t>
        </m:r>
        <m:r>
          <m:rPr/>
          <m:t>0</m:t>
        </m:r>
        <m:r>
          <m:rPr>
            <m:sty m:val="p"/>
          </m:rPr>
          <m:t>,</m:t>
        </m:r>
        <m:r>
          <m:rPr/>
          <m:t>123</m:t>
        </m:r>
      </m:oMath>
      <w:r>
        <w:rPr>
          <w:color w:val="000000"/>
        </w:rPr>
        <w:t xml:space="preserve"> a dos meses) acompañada de inundación bajo dosel detectable por SAR (43,08 km², tabla </w:t>
      </w:r>
      <w:r>
        <w:rPr>
          <w:color w:val="000000"/>
        </w:rPr>
        <w:fldChar w:fldCharType="begin"/>
      </w:r>
      <w:r>
        <w:rPr>
          <w:color w:val="000000"/>
        </w:rPr>
        <w:instrText xml:space="preserve"> HYPERLINK \l "tbl-sar" \h </w:instrText>
      </w:r>
      <w:r>
        <w:rPr>
          <w:color w:val="000000"/>
        </w:rPr>
        <w:fldChar w:fldCharType="separate"/>
      </w:r>
      <w:r>
        <w:rPr>
          <w:rStyle w:val="16"/>
          <w:color w:val="000000"/>
        </w:rPr>
        <w:t>tabla 6</w:t>
      </w:r>
      <w:r>
        <w:rPr>
          <w:rStyle w:val="16"/>
          <w:color w:val="000000"/>
        </w:rPr>
        <w:fldChar w:fldCharType="end"/>
      </w:r>
      <w:r>
        <w:rPr>
          <w:color w:val="000000"/>
        </w:rPr>
        <w:t>).</w:t>
      </w:r>
    </w:p>
    <w:p w14:paraId="1A55C474">
      <w:pPr>
        <w:pStyle w:val="24"/>
        <w:numPr>
          <w:ilvl w:val="0"/>
          <w:numId w:val="2"/>
        </w:numPr>
      </w:pPr>
      <w:r>
        <w:rPr>
          <w:color w:val="000000"/>
        </w:rPr>
        <w:t xml:space="preserve">Los efectos de mediano plazo del régimen La Niña se manifiestan en los quiebres bfast de 2022 sobre CP Aguas Negras y CP Luna (tabla </w:t>
      </w:r>
      <w:r>
        <w:rPr>
          <w:color w:val="000000"/>
        </w:rPr>
        <w:fldChar w:fldCharType="begin"/>
      </w:r>
      <w:r>
        <w:rPr>
          <w:color w:val="000000"/>
        </w:rPr>
        <w:instrText xml:space="preserve"> HYPERLINK \l "tbl-bfast-unificado" \h </w:instrText>
      </w:r>
      <w:r>
        <w:rPr>
          <w:color w:val="000000"/>
        </w:rPr>
        <w:fldChar w:fldCharType="separate"/>
      </w:r>
      <w:r>
        <w:rPr>
          <w:rStyle w:val="16"/>
          <w:color w:val="000000"/>
        </w:rPr>
        <w:t>tabla 3</w:t>
      </w:r>
      <w:r>
        <w:rPr>
          <w:rStyle w:val="16"/>
          <w:color w:val="000000"/>
        </w:rPr>
        <w:fldChar w:fldCharType="end"/>
      </w:r>
      <w:r>
        <w:rPr>
          <w:color w:val="000000"/>
        </w:rPr>
        <w:t>), periodo en el cual los caudales alcanzan su máximo histórico.</w:t>
      </w:r>
    </w:p>
    <w:p w14:paraId="05DB4F5E">
      <w:pPr>
        <w:pStyle w:val="23"/>
      </w:pPr>
      <w:r>
        <w:rPr>
          <w:color w:val="000000"/>
        </w:rPr>
        <w:t>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34"/>
    <w:p w14:paraId="6AD1E95F">
      <w:pPr>
        <w:pStyle w:val="4"/>
      </w:pPr>
      <w:bookmarkStart w:id="41" w:name="X1719a00c63a18855820e8063cc3014d3e319aea"/>
      <w:r>
        <w:rPr>
          <w:color w:val="000000"/>
        </w:rPr>
        <w:t>8.8 Validación cruzada multilingüe Python + R + Julia</w:t>
      </w:r>
    </w:p>
    <w:p w14:paraId="3E386692">
      <w:pPr>
        <w:pStyle w:val="23"/>
      </w:pPr>
      <w:r>
        <w:rPr>
          <w:color w:val="000000"/>
        </w:rPr>
        <w:t xml:space="preserve">La naturaleza multilingüe del proyecto se verifica mediante </w:t>
      </w:r>
      <w:r>
        <w:rPr>
          <w:b/>
          <w:bCs/>
          <w:color w:val="000000"/>
        </w:rPr>
        <w:t>cuatro validaciones cruzadas</w:t>
      </w:r>
      <w:r>
        <w:rPr>
          <w:color w:val="000000"/>
        </w:rPr>
        <w:t xml:space="preserve"> ejecutadas sobre los análisis más relevantes del informe, que confirman que las conclusiones no dependen del entorno computacional:</w:t>
      </w:r>
    </w:p>
    <w:p w14:paraId="0114FFBF">
      <w:pPr>
        <w:pStyle w:val="24"/>
        <w:numPr>
          <w:ilvl w:val="0"/>
          <w:numId w:val="3"/>
        </w:numPr>
      </w:pPr>
      <w:r>
        <w:rPr>
          <w:b/>
          <w:bCs/>
          <w:color w:val="000000"/>
        </w:rPr>
        <w:t>Series NDVI Python ↔ R</w:t>
      </w:r>
      <w:r>
        <w:rPr>
          <w:color w:val="000000"/>
        </w:rPr>
        <w:t xml:space="preserve">: el flujo de extracción </w:t>
      </w:r>
      <w:r>
        <w:rPr>
          <w:rStyle w:val="36"/>
          <w:color w:val="000000"/>
        </w:rPr>
        <w:t>stars::st_extract</w:t>
      </w:r>
      <w:r>
        <w:rPr>
          <w:color w:val="000000"/>
        </w:rPr>
        <w:t xml:space="preserve"> sobre el cubo trimestral en R reproduce la serie de </w:t>
      </w:r>
      <w:r>
        <w:rPr>
          <w:rStyle w:val="36"/>
          <w:color w:val="000000"/>
        </w:rPr>
        <w:t>reduceRegions</w:t>
      </w:r>
      <w:r>
        <w:rPr>
          <w:color w:val="000000"/>
        </w:rPr>
        <w:t xml:space="preserve"> en GEE con </w:t>
      </w:r>
      <m:oMath>
        <m:r>
          <m:rPr/>
          <m:t>ρ</m:t>
        </m:r>
        <m:r>
          <m:rPr>
            <m:sty m:val="p"/>
          </m:rPr>
          <m:t>&gt;</m:t>
        </m:r>
        <m:r>
          <m:rPr/>
          <m:t>0</m:t>
        </m:r>
        <m:r>
          <m:rPr>
            <m:sty m:val="p"/>
          </m:rPr>
          <m:t>,</m:t>
        </m:r>
        <m:r>
          <m:rPr/>
          <m:t>95</m:t>
        </m:r>
      </m:oMath>
      <w:r>
        <w:rPr>
          <w:color w:val="000000"/>
        </w:rPr>
        <w:t xml:space="preserve"> y RMSE &lt; 0,05 unidades NDVI sobre las ocho estaciones.</w:t>
      </w:r>
    </w:p>
    <w:p w14:paraId="2E3FD0DD">
      <w:pPr>
        <w:pStyle w:val="24"/>
        <w:numPr>
          <w:ilvl w:val="0"/>
          <w:numId w:val="3"/>
        </w:numPr>
      </w:pPr>
      <w:r>
        <w:rPr>
          <w:b/>
          <w:bCs/>
          <w:color w:val="000000"/>
        </w:rPr>
        <w:t>Correlación caudal-NDVI trilingüe Python = R = Julia</w:t>
      </w:r>
      <w:r>
        <w:rPr>
          <w:color w:val="000000"/>
        </w:rPr>
        <w:t xml:space="preserve"> (notebook </w:t>
      </w:r>
      <w:r>
        <w:rPr>
          <w:rStyle w:val="36"/>
          <w:color w:val="000000"/>
        </w:rPr>
        <w:t>14_validacion_trilingual.ipynb</w:t>
      </w:r>
      <w:r>
        <w:rPr>
          <w:color w:val="000000"/>
        </w:rPr>
        <w:t xml:space="preserve">, figura </w:t>
      </w:r>
      <w:r>
        <w:rPr>
          <w:color w:val="000000"/>
        </w:rPr>
        <w:fldChar w:fldCharType="begin"/>
      </w:r>
      <w:r>
        <w:rPr>
          <w:color w:val="000000"/>
        </w:rPr>
        <w:instrText xml:space="preserve"> HYPERLINK \l "fig-trilingual" \h </w:instrText>
      </w:r>
      <w:r>
        <w:rPr>
          <w:color w:val="000000"/>
        </w:rPr>
        <w:fldChar w:fldCharType="separate"/>
      </w:r>
      <w:r>
        <w:rPr>
          <w:rStyle w:val="16"/>
          <w:color w:val="000000"/>
        </w:rPr>
        <w:t>figura 11</w:t>
      </w:r>
      <w:r>
        <w:rPr>
          <w:rStyle w:val="16"/>
          <w:color w:val="000000"/>
        </w:rPr>
        <w:fldChar w:fldCharType="end"/>
      </w:r>
      <w:r>
        <w:rPr>
          <w:color w:val="000000"/>
        </w:rPr>
        <w:t xml:space="preserve">): los tres lenguajes producen valores idénticos hasta tres decimales, </w:t>
      </w:r>
      <m:oMath>
        <m:r>
          <m:rPr/>
          <m:t>ρ</m:t>
        </m:r>
        <m:r>
          <m:rPr>
            <m:sty m:val="p"/>
          </m:rPr>
          <m:t>=</m:t>
        </m:r>
        <m:r>
          <m:rPr/>
          <m:t>0</m:t>
        </m:r>
        <m:r>
          <m:rPr>
            <m:sty m:val="p"/>
          </m:rPr>
          <m:t>,</m:t>
        </m:r>
        <m:r>
          <m:rPr/>
          <m:t>064</m:t>
        </m:r>
      </m:oMath>
      <w:r>
        <w:rPr>
          <w:color w:val="000000"/>
        </w:rPr>
        <w:t xml:space="preserve"> / </w:t>
      </w:r>
      <m:oMath>
        <m:r>
          <m:rPr/>
          <m:t>0</m:t>
        </m:r>
        <m:r>
          <m:rPr>
            <m:sty m:val="p"/>
          </m:rPr>
          <m:t>,</m:t>
        </m:r>
        <m:r>
          <m:rPr/>
          <m:t>039</m:t>
        </m:r>
      </m:oMath>
      <w:r>
        <w:rPr>
          <w:color w:val="000000"/>
        </w:rPr>
        <w:t xml:space="preserve"> / </w:t>
      </w:r>
      <m:oMath>
        <m:r>
          <m:rPr/>
          <m:t>0</m:t>
        </m:r>
        <m:r>
          <m:rPr>
            <m:sty m:val="p"/>
          </m:rPr>
          <m:t>,</m:t>
        </m:r>
        <m:r>
          <m:rPr/>
          <m:t>108</m:t>
        </m:r>
      </m:oMath>
      <w:r>
        <w:rPr>
          <w:color w:val="000000"/>
        </w:rPr>
        <w:t xml:space="preserve"> / </w:t>
      </w:r>
      <m:oMath>
        <m:r>
          <m:rPr/>
          <m:t>0</m:t>
        </m:r>
        <m:r>
          <m:rPr>
            <m:sty m:val="p"/>
          </m:rPr>
          <m:t>,</m:t>
        </m:r>
        <m:r>
          <m:rPr/>
          <m:t>256</m:t>
        </m:r>
      </m:oMath>
      <w:r>
        <w:rPr>
          <w:color w:val="000000"/>
        </w:rPr>
        <w:t xml:space="preserve"> para los rezagos 0 a 3 meses, con diferencia máxima del orden de </w:t>
      </w:r>
      <m:oMath>
        <m:sSup>
          <m:sSupPr/>
          <m:e>
            <m:r>
              <m:rPr/>
              <m:t>10</m:t>
            </m:r>
          </m:e>
          <m:sup>
            <m:r>
              <m:rPr>
                <m:sty m:val="p"/>
              </m:rPr>
              <m:t>−</m:t>
            </m:r>
            <m:r>
              <m:rPr/>
              <m:t>4</m:t>
            </m:r>
          </m:sup>
        </m:sSup>
      </m:oMath>
      <w:r>
        <w:rPr>
          <w:color w:val="000000"/>
        </w:rPr>
        <w:t>.</w:t>
      </w:r>
    </w:p>
    <w:p w14:paraId="51F929EE">
      <w:pPr>
        <w:pStyle w:val="24"/>
        <w:numPr>
          <w:ilvl w:val="0"/>
          <w:numId w:val="3"/>
        </w:numPr>
      </w:pPr>
      <w:r>
        <w:rPr>
          <w:b/>
          <w:bCs/>
          <w:color w:val="000000"/>
        </w:rPr>
        <w:t>Topología DE-9IM Python ↔ Julia</w:t>
      </w:r>
      <w:r>
        <w:rPr>
          <w:color w:val="000000"/>
        </w:rPr>
        <w:t xml:space="preserve"> (notebook </w:t>
      </w:r>
      <w:r>
        <w:rPr>
          <w:rStyle w:val="36"/>
          <w:color w:val="000000"/>
        </w:rPr>
        <w:t>04c_topología_julia.ipynb</w:t>
      </w:r>
      <w:r>
        <w:rPr>
          <w:color w:val="000000"/>
        </w:rPr>
        <w:t xml:space="preserve">): </w:t>
      </w:r>
      <w:r>
        <w:rPr>
          <w:rStyle w:val="36"/>
          <w:color w:val="000000"/>
        </w:rPr>
        <w:t>LibGEOS.jl</w:t>
      </w:r>
      <w:r>
        <w:rPr>
          <w:color w:val="000000"/>
        </w:rPr>
        <w:t xml:space="preserve"> en Julia produce conteos idénticos a </w:t>
      </w:r>
      <w:r>
        <w:rPr>
          <w:rStyle w:val="36"/>
          <w:color w:val="000000"/>
        </w:rPr>
        <w:t>geopandas</w:t>
      </w:r>
      <w:r>
        <w:rPr>
          <w:color w:val="000000"/>
        </w:rPr>
        <w:t xml:space="preserve"> + </w:t>
      </w:r>
      <w:r>
        <w:rPr>
          <w:rStyle w:val="36"/>
          <w:color w:val="000000"/>
        </w:rPr>
        <w:t>shapely</w:t>
      </w:r>
      <w:r>
        <w:rPr>
          <w:color w:val="000000"/>
        </w:rPr>
        <w:t xml:space="preserve"> para parches totales y en borde sobre los tres periodos (17/6, 17/8 y 15/8 con proporciones de borde 35,3 %, 47,1 % y 53,3 %).</w:t>
      </w:r>
    </w:p>
    <w:p w14:paraId="431AAD43">
      <w:pPr>
        <w:pStyle w:val="24"/>
        <w:numPr>
          <w:ilvl w:val="0"/>
          <w:numId w:val="3"/>
        </w:numPr>
      </w:pPr>
      <w:r>
        <w:rPr>
          <w:b/>
          <w:bCs/>
          <w:color w:val="000000"/>
        </w:rPr>
        <w:t>Análisis hidroclimáticos Python ↔ R</w:t>
      </w:r>
      <w:r>
        <w:rPr>
          <w:color w:val="000000"/>
        </w:rPr>
        <w:t>: las réplicas en R de los índices ENSO (</w:t>
      </w:r>
      <w:r>
        <w:rPr>
          <w:rStyle w:val="36"/>
          <w:color w:val="000000"/>
        </w:rPr>
        <w:t>11b_indices_enso_noaa_R.ipynb</w:t>
      </w:r>
      <w:r>
        <w:rPr>
          <w:color w:val="000000"/>
        </w:rPr>
        <w:t>) y del caudal IDEAM (</w:t>
      </w:r>
      <w:r>
        <w:rPr>
          <w:rStyle w:val="36"/>
          <w:color w:val="000000"/>
        </w:rPr>
        <w:t>12c_caudal_ideam_R.ipynb</w:t>
      </w:r>
      <w:r>
        <w:rPr>
          <w:color w:val="000000"/>
        </w:rPr>
        <w:t xml:space="preserve">) reproducen hasta tres decimales las dieciséis filas del Anexo F.12 y las ocho del Anexo F.11, incluido el valor pico </w:t>
      </w:r>
      <m:oMath>
        <m:sSup>
          <m:sSupPr/>
          <m:e>
            <m:r>
              <m:rPr/>
              <m:t>ρ</m:t>
            </m:r>
          </m:e>
          <m:sup>
            <m:r>
              <m:rPr>
                <m:nor/>
                <m:sty m:val="p"/>
              </m:rPr>
              <w:rPr>
                <w:b w:val="0"/>
                <w:i w:val="0"/>
              </w:rPr>
              <m:t>El Banco, manglar, lag 3</m:t>
            </m:r>
          </m:sup>
        </m:sSup>
        <m:r>
          <m:rPr>
            <m:sty m:val="p"/>
          </m:rPr>
          <m:t>=+</m:t>
        </m:r>
        <m:r>
          <m:rPr/>
          <m:t>0</m:t>
        </m:r>
        <m:r>
          <m:rPr>
            <m:sty m:val="p"/>
          </m:rPr>
          <m:t>,</m:t>
        </m:r>
        <m:r>
          <m:rPr/>
          <m:t>256</m:t>
        </m:r>
      </m:oMath>
      <w:r>
        <w:rPr>
          <w:color w:val="000000"/>
        </w:rPr>
        <w:t xml:space="preserve"> que sostiene la interpretación del informe.</w:t>
      </w:r>
    </w:p>
    <w:p w14:paraId="70EC0084">
      <w:pPr>
        <w:pStyle w:val="23"/>
      </w:pPr>
      <w:r>
        <w:rPr>
          <w:color w:val="000000"/>
        </w:rPr>
        <w:t xml:space="preserve">La consistencia entre estas cuatro validaciones confirma que la elección de Python para GEE y SamGeo, R para bfast y series ecohidrológicas, y Julia para fragmentación y predicados DE-9IM con </w:t>
      </w:r>
      <w:r>
        <w:rPr>
          <w:rStyle w:val="36"/>
          <w:color w:val="000000"/>
        </w:rPr>
        <w:t>LibGEOS.jl</w:t>
      </w:r>
      <w:r>
        <w:rPr>
          <w:color w:val="000000"/>
        </w:rPr>
        <w:t xml:space="preserve"> obedece a la conveniencia disciplinar de cada lenguaje y no a una restricción metodológica, así el pipeline constituye una arquitectura interoperable cuyas salidas son reproducibles e independientes del entorno.</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018162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E2EF801">
            <w:pPr>
              <w:pStyle w:val="24"/>
              <w:jc w:val="center"/>
            </w:pPr>
            <w:bookmarkStart w:id="42" w:name="fig-trilingual"/>
            <w:r>
              <w:rPr>
                <w:color w:val="000000"/>
              </w:rPr>
              <w:drawing>
                <wp:inline distT="0" distB="0" distL="114300" distR="114300">
                  <wp:extent cx="3627120" cy="1997075"/>
                  <wp:effectExtent l="0" t="0" r="0" b="0"/>
                  <wp:docPr id="8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pic:cNvPicPr>
                            <a:picLocks noChangeAspect="1" noChangeArrowheads="1"/>
                          </pic:cNvPicPr>
                        </pic:nvPicPr>
                        <pic:blipFill>
                          <a:blip r:embed="rId14"/>
                          <a:stretch>
                            <a:fillRect/>
                          </a:stretch>
                        </pic:blipFill>
                        <pic:spPr>
                          <a:xfrm>
                            <a:off x="0" y="0"/>
                            <a:ext cx="3627120" cy="1997366"/>
                          </a:xfrm>
                          <a:prstGeom prst="rect">
                            <a:avLst/>
                          </a:prstGeom>
                          <a:noFill/>
                          <a:ln>
                            <a:noFill/>
                          </a:ln>
                        </pic:spPr>
                      </pic:pic>
                    </a:graphicData>
                  </a:graphic>
                </wp:inline>
              </w:drawing>
            </w:r>
          </w:p>
          <w:p w14:paraId="4C784A22">
            <w:pPr>
              <w:pStyle w:val="33"/>
              <w:spacing w:before="200"/>
              <w:jc w:val="left"/>
            </w:pPr>
            <w:r>
              <w:rPr>
                <w:color w:val="000000"/>
              </w:rPr>
              <w:t>Figura 11: Validación cruzada trilingüe Python + R + Julia sobre la correlación caudal-NDVI por rezago (0–3 meses, El Banco, estaciones de manglar). Las tres barras de cada rezago son visualmente idénticas; convergencia hasta el tercer decimal.</w:t>
            </w:r>
          </w:p>
          <w:bookmarkEnd w:id="42"/>
        </w:tc>
      </w:tr>
      <w:bookmarkEnd w:id="41"/>
    </w:tbl>
    <w:p w14:paraId="2AFD216A">
      <w:pPr>
        <w:pStyle w:val="4"/>
      </w:pPr>
      <w:bookmarkStart w:id="43" w:name="X0f133920c064cd89c059848d638a86a907c1e3b"/>
      <w:r>
        <w:rPr>
          <w:color w:val="000000"/>
        </w:rPr>
        <w:t>8.9 Detección de inundación con Sentinel-1 SAR (evento puntual de septiembre 2020)</w:t>
      </w:r>
    </w:p>
    <w:p w14:paraId="0F65F6D7">
      <w:pPr>
        <w:pStyle w:val="23"/>
      </w:pPr>
      <w:r>
        <w:rPr>
          <w:color w:val="000000"/>
        </w:rPr>
        <w:t>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14:paraId="23725FB6">
      <w:pPr>
        <w:pStyle w:val="3"/>
      </w:pPr>
      <w:r>
        <w:rPr>
          <w:color w:val="000000"/>
        </w:rPr>
        <w:t>El listado de los diez eventos con mayor área inundada (Inicio, Fin, Área en km² y Días de duración) se reporta en el Anexo F.8 del documento complementario.</w:t>
      </w:r>
    </w:p>
    <w:p w14:paraId="76318D19">
      <w:pPr>
        <w:pStyle w:val="3"/>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 </w:t>
      </w:r>
      <w:r>
        <w:rPr>
          <w:b/>
          <w:bCs/>
          <w:color w:val="000000"/>
        </w:rPr>
        <w:t>?@tbl-cruce</w:t>
      </w:r>
      <w:r>
        <w:rPr>
          <w:color w:val="000000"/>
        </w:rPr>
        <w:t>.</w:t>
      </w:r>
    </w:p>
    <w:tbl>
      <w:tblPr>
        <w:tblW w:w="5000" w:type="pct"/>
        <w:tblInd w:w="0" w:type="dxa"/>
        <w:tblLayout w:type="autofit"/>
        <w:tblCellMar>
          <w:top w:w="0" w:type="dxa"/>
          <w:left w:w="10" w:type="dxa"/>
          <w:bottom w:w="0" w:type="dxa"/>
          <w:right w:w="1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3126D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30150DFE">
            <w:pPr>
              <w:pStyle w:val="33"/>
              <w:spacing w:before="0" w:after="0"/>
              <w:jc w:val="left"/>
            </w:pPr>
            <w:bookmarkStart w:id="44" w:name="tbl-sar"/>
            <w:r>
              <w:rPr>
                <w:b/>
                <w:color w:val="FFFFFF"/>
                <w:sz w:val="20"/>
              </w:rPr>
              <w:t>Tabla 6: Extensión de la inundación detectada con Sentinel-1 SAR (septiembre–octubre 2020) sobre el AOI acotado SFF + VPI Salamanca.</w:t>
            </w:r>
          </w:p>
          <w:tbl>
            <w:tblPr>
              <w:tblStyle w:val="29"/>
              <w:tblW w:w="0" w:type="auto"/>
              <w:tblInd w:w="0" w:type="dxa"/>
              <w:tblLayout w:type="autofit"/>
              <w:tblCellMar>
                <w:top w:w="0" w:type="dxa"/>
                <w:left w:w="108" w:type="dxa"/>
                <w:bottom w:w="0" w:type="dxa"/>
                <w:right w:w="108" w:type="dxa"/>
              </w:tblCellMar>
            </w:tblPr>
            <w:tblGrid>
              <w:gridCol w:w="3709"/>
              <w:gridCol w:w="1193"/>
              <w:gridCol w:w="1585"/>
            </w:tblGrid>
            <w:tr w14:paraId="5F0953D1">
              <w:tblPrEx>
                <w:tblCellMar>
                  <w:top w:w="0" w:type="dxa"/>
                  <w:left w:w="108" w:type="dxa"/>
                  <w:bottom w:w="0" w:type="dxa"/>
                  <w:right w:w="108" w:type="dxa"/>
                </w:tblCellMar>
              </w:tblPrEx>
              <w:trPr>
                <w:tblHeader/>
              </w:trPr>
              <w:tc>
                <w:p w14:paraId="139739EC">
                  <w:pPr>
                    <w:pStyle w:val="24"/>
                    <w:jc w:val="center"/>
                  </w:pPr>
                  <w:r>
                    <w:t>Tipo de inundación</w:t>
                  </w:r>
                </w:p>
              </w:tc>
              <w:tc>
                <w:p w14:paraId="78D2C9BE">
                  <w:pPr>
                    <w:pStyle w:val="24"/>
                    <w:jc w:val="center"/>
                  </w:pPr>
                  <w:r>
                    <w:t>Área (km²)</w:t>
                  </w:r>
                </w:p>
              </w:tc>
              <w:tc>
                <w:p w14:paraId="07447915">
                  <w:pPr>
                    <w:pStyle w:val="24"/>
                    <w:jc w:val="center"/>
                  </w:pPr>
                  <w:r>
                    <w:t>% AOI acotado</w:t>
                  </w:r>
                </w:p>
              </w:tc>
            </w:tr>
            <w:tr w14:paraId="569CDC7E">
              <w:tblPrEx>
                <w:tblCellMar>
                  <w:top w:w="0" w:type="dxa"/>
                  <w:left w:w="108" w:type="dxa"/>
                  <w:bottom w:w="0" w:type="dxa"/>
                  <w:right w:w="108" w:type="dxa"/>
                </w:tblCellMar>
              </w:tblPrEx>
              <w:tc>
                <w:p w14:paraId="2C99CF15">
                  <w:pPr>
                    <w:pStyle w:val="24"/>
                    <w:jc w:val="center"/>
                  </w:pPr>
                  <w:r>
                    <w:t>Agua abierta (SAR diff &gt; +3 dB)</w:t>
                  </w:r>
                </w:p>
              </w:tc>
              <w:tc>
                <w:p w14:paraId="6F86C434">
                  <w:pPr>
                    <w:pStyle w:val="24"/>
                    <w:jc w:val="center"/>
                  </w:pPr>
                  <w:r>
                    <w:t>15,93</w:t>
                  </w:r>
                </w:p>
              </w:tc>
              <w:tc>
                <w:p w14:paraId="6E0662A1">
                  <w:pPr>
                    <w:pStyle w:val="24"/>
                    <w:jc w:val="center"/>
                  </w:pPr>
                  <w:r>
                    <w:t>1,9 %</w:t>
                  </w:r>
                </w:p>
              </w:tc>
            </w:tr>
            <w:tr w14:paraId="1E96AE40">
              <w:tblPrEx>
                <w:tblCellMar>
                  <w:top w:w="0" w:type="dxa"/>
                  <w:left w:w="108" w:type="dxa"/>
                  <w:bottom w:w="0" w:type="dxa"/>
                  <w:right w:w="108" w:type="dxa"/>
                </w:tblCellMar>
              </w:tblPrEx>
              <w:tc>
                <w:p w14:paraId="22DCCBBD">
                  <w:pPr>
                    <w:pStyle w:val="24"/>
                    <w:jc w:val="center"/>
                  </w:pPr>
                  <w:r>
                    <w:t>Bajo dosel manglar (SAR diff &lt; −2 dB)</w:t>
                  </w:r>
                </w:p>
              </w:tc>
              <w:tc>
                <w:p w14:paraId="6F9F3920">
                  <w:pPr>
                    <w:pStyle w:val="24"/>
                    <w:jc w:val="center"/>
                  </w:pPr>
                  <w:r>
                    <w:t>43,08</w:t>
                  </w:r>
                </w:p>
              </w:tc>
              <w:tc>
                <w:p w14:paraId="7B0B214C">
                  <w:pPr>
                    <w:pStyle w:val="24"/>
                    <w:jc w:val="center"/>
                  </w:pPr>
                  <w:r>
                    <w:t>5,2 %</w:t>
                  </w:r>
                </w:p>
              </w:tc>
            </w:tr>
            <w:tr w14:paraId="1C72EFDA">
              <w:tblPrEx>
                <w:tblCellMar>
                  <w:top w:w="0" w:type="dxa"/>
                  <w:left w:w="108" w:type="dxa"/>
                  <w:bottom w:w="0" w:type="dxa"/>
                  <w:right w:w="108" w:type="dxa"/>
                </w:tblCellMar>
              </w:tblPrEx>
              <w:tc>
                <w:p w14:paraId="459DD1D2">
                  <w:pPr>
                    <w:pStyle w:val="24"/>
                    <w:jc w:val="center"/>
                  </w:pPr>
                  <w:r>
                    <w:t>Total afectado</w:t>
                  </w:r>
                </w:p>
              </w:tc>
              <w:tc>
                <w:p w14:paraId="0C601E1A">
                  <w:pPr>
                    <w:pStyle w:val="24"/>
                    <w:jc w:val="center"/>
                  </w:pPr>
                  <w:r>
                    <w:t>59,02</w:t>
                  </w:r>
                </w:p>
              </w:tc>
              <w:tc>
                <w:p w14:paraId="6DB73BD3">
                  <w:pPr>
                    <w:pStyle w:val="24"/>
                    <w:jc w:val="center"/>
                  </w:pPr>
                  <w:r>
                    <w:t>7,1 %</w:t>
                  </w:r>
                </w:p>
              </w:tc>
            </w:tr>
            <w:bookmarkEnd w:id="44"/>
          </w:tbl>
          <w:p w14:paraId="505E6E4E">
            <w:pPr>
              <w:spacing w:before="0" w:after="0"/>
            </w:pPr>
          </w:p>
        </w:tc>
      </w:tr>
    </w:tbl>
    <w:p w14:paraId="6BCD4FB5">
      <w:pPr>
        <w:pStyle w:val="3"/>
      </w:pPr>
      <w:r>
        <w:rPr>
          <w:color w:val="000000"/>
        </w:rPr>
        <w:t>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43"/>
    <w:p w14:paraId="6CF59586">
      <w:pPr>
        <w:pStyle w:val="4"/>
      </w:pPr>
      <w:bookmarkStart w:id="45" w:name="Xbc08cda8e871979a7f753121da5e0428e8ea93a"/>
      <w:r>
        <w:rPr>
          <w:color w:val="000000"/>
        </w:rPr>
        <w:t>8.10 Dinámica hídrica: transiciones JRC en zonas de manglar</w:t>
      </w:r>
    </w:p>
    <w:p w14:paraId="30101969">
      <w:pPr>
        <w:pStyle w:val="23"/>
      </w:pPr>
      <w:r>
        <w:rPr>
          <w:color w:val="000000"/>
        </w:rPr>
        <w:t>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45"/>
    <w:p w14:paraId="7438768B">
      <w:pPr>
        <w:pStyle w:val="4"/>
      </w:pPr>
      <w:bookmarkStart w:id="46" w:name="Xff8fedec816b379b4dd0634548dc750ba92c5ee"/>
      <w:r>
        <w:rPr>
          <w:color w:val="000000"/>
        </w:rPr>
        <w:t>8.11 Validación doble contra cartografía oficial (INVEMAR 1:25.000) y global (ESA WorldCover v200)</w:t>
      </w:r>
    </w:p>
    <w:p w14:paraId="4CC77C42">
      <w:pPr>
        <w:pStyle w:val="23"/>
      </w:pPr>
      <w:r>
        <w:rPr>
          <w:color w:val="000000"/>
        </w:rPr>
        <w:t xml:space="preserve">La clasificación por umbrales espectrales se valida sobre el AOI acotado contra </w:t>
      </w:r>
      <w:r>
        <w:rPr>
          <w:b/>
          <w:bCs/>
          <w:color w:val="000000"/>
        </w:rPr>
        <w:t>ESA WorldCover v200</w:t>
      </w:r>
      <w:r>
        <w:rPr>
          <w:color w:val="000000"/>
        </w:rPr>
        <w:t xml:space="preserve"> (Zanaga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 </w:t>
      </w:r>
      <w:r>
        <w:rPr>
          <w:rStyle w:val="36"/>
          <w:color w:val="000000"/>
        </w:rPr>
        <w:t>reduceRegion</w:t>
      </w:r>
      <w:r>
        <w:rPr>
          <w:color w:val="000000"/>
        </w:rPr>
        <w:t xml:space="preserve"> con histograma de frecuencias, comparando pixel a pixel a 25 m de resolución la clasificación por umbrales, NDVI &gt; 0,70, elevación SRTM &lt; 10 m, distancia al agua JRC &lt; 3 km, contra la clase 95 de WorldCover, sin necesidad de descargar los rasters al contenedor local.</w:t>
      </w:r>
    </w:p>
    <w:p w14:paraId="566446F3">
      <w:pPr>
        <w:pStyle w:val="3"/>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 </w:t>
      </w:r>
      <w:r>
        <w:rPr>
          <w:b/>
          <w:bCs/>
          <w:color w:val="000000"/>
        </w:rPr>
        <w:t>0,548</w:t>
      </w:r>
      <w:r>
        <w:rPr>
          <w:color w:val="000000"/>
        </w:rPr>
        <w:t xml:space="preserve"> (+24 %), la Precisión (acuerdo positivo predictivo) sube de 0,428 a </w:t>
      </w:r>
      <w:r>
        <w:rPr>
          <w:b/>
          <w:bCs/>
          <w:color w:val="000000"/>
        </w:rPr>
        <w:t>0,768</w:t>
      </w:r>
      <w:r>
        <w:rPr>
          <w:color w:val="000000"/>
        </w:rPr>
        <w:t xml:space="preserve"> (+79 %)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14:paraId="09ECFCD5">
      <w:pPr>
        <w:pStyle w:val="3"/>
      </w:pPr>
      <w:r>
        <w:rPr>
          <w:color w:val="000000"/>
        </w:rPr>
        <w:t>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14:paraId="5CB8C00F">
      <w:pPr>
        <w:pStyle w:val="3"/>
      </w:pPr>
      <w:r>
        <w:rPr>
          <w:color w:val="000000"/>
        </w:rPr>
        <w:t xml:space="preserve">Adicionalmente al cálculo contra WorldCover, se descarga la cartografía oficial colombiana de manglares a escala 1:25.000 publicada por INVEMAR (2020) mediante el servicio ArcGIS REST </w:t>
      </w:r>
      <w:r>
        <w:rPr>
          <w:rStyle w:val="36"/>
          <w:color w:val="000000"/>
        </w:rPr>
        <w:t>SIGMA/MANGLARES_COLOMBIA</w:t>
      </w:r>
      <w:r>
        <w:rPr>
          <w:color w:val="000000"/>
        </w:rPr>
        <w:t>,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36"/>
          <w:color w:val="000000"/>
        </w:rPr>
        <w:t>rasterio.features.rasterize</w:t>
      </w:r>
      <w:r>
        <w:rPr>
          <w:color w:val="000000"/>
        </w:rPr>
        <w:t xml:space="preserve"> con </w:t>
      </w:r>
      <w:r>
        <w:rPr>
          <w:rStyle w:val="36"/>
          <w:color w:val="000000"/>
        </w:rPr>
        <w:t>all_touched=True</w:t>
      </w:r>
      <w:r>
        <w:rPr>
          <w:color w:val="000000"/>
        </w:rPr>
        <w:t xml:space="preserve"> y limpieza con </w:t>
      </w:r>
      <w:r>
        <w:rPr>
          <w:rStyle w:val="36"/>
          <w:color w:val="000000"/>
        </w:rPr>
        <w:t>shapely.validation.make_valid</w:t>
      </w:r>
      <w:r>
        <w:rPr>
          <w:color w:val="000000"/>
        </w:rPr>
        <w:t>) se documenta en el Anexo E.</w:t>
      </w:r>
    </w:p>
    <w:tbl>
      <w:tblPr>
        <w:tblW w:w="5000" w:type="pct"/>
        <w:tblInd w:w="0" w:type="dxa"/>
        <w:tblLayout w:type="autofit"/>
        <w:tblCellMar>
          <w:top w:w="0" w:type="dxa"/>
          <w:left w:w="10" w:type="dxa"/>
          <w:bottom w:w="0" w:type="dxa"/>
          <w:right w:w="1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3430B4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3D8027D4">
            <w:pPr>
              <w:pStyle w:val="33"/>
              <w:spacing w:before="0" w:after="0"/>
              <w:jc w:val="left"/>
            </w:pPr>
            <w:bookmarkStart w:id="47" w:name="tbl-validación"/>
            <w:r>
              <w:rPr>
                <w:b/>
                <w:color w:val="FFFFFF"/>
                <w:sz w:val="20"/>
              </w:rPr>
              <w:t>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29"/>
              <w:tblW w:w="5000" w:type="pct"/>
              <w:tblInd w:w="0" w:type="dxa"/>
              <w:tblLayout w:type="autofit"/>
              <w:tblCellMar>
                <w:top w:w="0" w:type="dxa"/>
                <w:left w:w="108" w:type="dxa"/>
                <w:bottom w:w="0" w:type="dxa"/>
                <w:right w:w="108" w:type="dxa"/>
              </w:tblCellMar>
            </w:tblPr>
            <w:tblGrid>
              <w:gridCol w:w="1904"/>
              <w:gridCol w:w="2254"/>
              <w:gridCol w:w="2220"/>
              <w:gridCol w:w="2262"/>
            </w:tblGrid>
            <w:tr w14:paraId="296310A1">
              <w:tblPrEx>
                <w:tblCellMar>
                  <w:top w:w="0" w:type="dxa"/>
                  <w:left w:w="108" w:type="dxa"/>
                  <w:bottom w:w="0" w:type="dxa"/>
                  <w:right w:w="108" w:type="dxa"/>
                </w:tblCellMar>
              </w:tblPrEx>
              <w:trPr>
                <w:tblHeader/>
              </w:trPr>
              <w:tc>
                <w:p w14:paraId="3459B2CA">
                  <w:pPr>
                    <w:pStyle w:val="24"/>
                    <w:jc w:val="center"/>
                  </w:pPr>
                  <w:r>
                    <w:t>Métrica</w:t>
                  </w:r>
                </w:p>
              </w:tc>
              <w:tc>
                <w:p w14:paraId="23CC8541">
                  <w:pPr>
                    <w:pStyle w:val="24"/>
                    <w:jc w:val="center"/>
                  </w:pPr>
                  <w:r>
                    <w:t>Línea base envolvente</w:t>
                  </w:r>
                </w:p>
              </w:tc>
              <w:tc>
                <w:p w14:paraId="4B762AEA">
                  <w:pPr>
                    <w:pStyle w:val="24"/>
                    <w:jc w:val="center"/>
                  </w:pPr>
                  <w:r>
                    <w:t>INVEMAR 1:25.000 (vigente)</w:t>
                  </w:r>
                </w:p>
              </w:tc>
              <w:tc>
                <w:p w14:paraId="203B3B3A">
                  <w:pPr>
                    <w:pStyle w:val="24"/>
                    <w:jc w:val="center"/>
                  </w:pPr>
                  <w:r>
                    <w:t>ESA WorldCover v200 (vigente)</w:t>
                  </w:r>
                </w:p>
              </w:tc>
            </w:tr>
            <w:tr w14:paraId="211D3916">
              <w:tblPrEx>
                <w:tblCellMar>
                  <w:top w:w="0" w:type="dxa"/>
                  <w:left w:w="108" w:type="dxa"/>
                  <w:bottom w:w="0" w:type="dxa"/>
                  <w:right w:w="108" w:type="dxa"/>
                </w:tblCellMar>
              </w:tblPrEx>
              <w:tc>
                <w:p w14:paraId="7A1FB45B">
                  <w:pPr>
                    <w:pStyle w:val="24"/>
                    <w:jc w:val="center"/>
                  </w:pPr>
                  <w:r>
                    <w:t>Exactitud global (OA)</w:t>
                  </w:r>
                </w:p>
              </w:tc>
              <w:tc>
                <w:p w14:paraId="7F4424A1">
                  <w:pPr>
                    <w:pStyle w:val="24"/>
                    <w:jc w:val="center"/>
                  </w:pPr>
                  <w:r>
                    <w:t>0,899</w:t>
                  </w:r>
                </w:p>
              </w:tc>
              <w:tc>
                <w:p w14:paraId="74D4EF08">
                  <w:pPr>
                    <w:pStyle w:val="24"/>
                    <w:jc w:val="center"/>
                  </w:pPr>
                  <w:r>
                    <w:t>0,803</w:t>
                  </w:r>
                </w:p>
              </w:tc>
              <w:tc>
                <w:p w14:paraId="39F3A538">
                  <w:pPr>
                    <w:pStyle w:val="24"/>
                    <w:jc w:val="center"/>
                  </w:pPr>
                  <w:r>
                    <w:t>0,788</w:t>
                  </w:r>
                </w:p>
              </w:tc>
            </w:tr>
            <w:tr w14:paraId="402D583F">
              <w:tblPrEx>
                <w:tblCellMar>
                  <w:top w:w="0" w:type="dxa"/>
                  <w:left w:w="108" w:type="dxa"/>
                  <w:bottom w:w="0" w:type="dxa"/>
                  <w:right w:w="108" w:type="dxa"/>
                </w:tblCellMar>
              </w:tblPrEx>
              <w:tc>
                <w:p w14:paraId="17F72298">
                  <w:pPr>
                    <w:pStyle w:val="24"/>
                    <w:jc w:val="center"/>
                  </w:pPr>
                  <w:r>
                    <w:t>Precisión (User’s)</w:t>
                  </w:r>
                </w:p>
              </w:tc>
              <w:tc>
                <w:p w14:paraId="4E6F6225">
                  <w:pPr>
                    <w:pStyle w:val="24"/>
                    <w:jc w:val="center"/>
                  </w:pPr>
                  <w:r>
                    <w:t>0,428</w:t>
                  </w:r>
                </w:p>
              </w:tc>
              <w:tc>
                <w:p w14:paraId="221B3B8B">
                  <w:pPr>
                    <w:pStyle w:val="24"/>
                    <w:jc w:val="center"/>
                  </w:pPr>
                  <w:r>
                    <w:rPr>
                      <w:b/>
                      <w:bCs/>
                    </w:rPr>
                    <w:t>0,811</w:t>
                  </w:r>
                </w:p>
              </w:tc>
              <w:tc>
                <w:p w14:paraId="64B81DE7">
                  <w:pPr>
                    <w:pStyle w:val="24"/>
                    <w:jc w:val="center"/>
                  </w:pPr>
                  <w:r>
                    <w:t>0,768</w:t>
                  </w:r>
                </w:p>
              </w:tc>
            </w:tr>
            <w:tr w14:paraId="482917B6">
              <w:tblPrEx>
                <w:tblCellMar>
                  <w:top w:w="0" w:type="dxa"/>
                  <w:left w:w="108" w:type="dxa"/>
                  <w:bottom w:w="0" w:type="dxa"/>
                  <w:right w:w="108" w:type="dxa"/>
                </w:tblCellMar>
              </w:tblPrEx>
              <w:tc>
                <w:p w14:paraId="69240BE7">
                  <w:pPr>
                    <w:pStyle w:val="24"/>
                    <w:jc w:val="center"/>
                  </w:pPr>
                  <w:r>
                    <w:t>Recall (Producer’s)</w:t>
                  </w:r>
                </w:p>
              </w:tc>
              <w:tc>
                <w:p w14:paraId="317DD8C0">
                  <w:pPr>
                    <w:pStyle w:val="24"/>
                    <w:jc w:val="center"/>
                  </w:pPr>
                  <w:r>
                    <w:t>0,457</w:t>
                  </w:r>
                </w:p>
              </w:tc>
              <w:tc>
                <w:p w14:paraId="570ECD13">
                  <w:pPr>
                    <w:pStyle w:val="24"/>
                    <w:jc w:val="center"/>
                  </w:pPr>
                  <w:r>
                    <w:t>0,454</w:t>
                  </w:r>
                </w:p>
              </w:tc>
              <w:tc>
                <w:p w14:paraId="34EA1D46">
                  <w:pPr>
                    <w:pStyle w:val="24"/>
                    <w:jc w:val="center"/>
                  </w:pPr>
                  <w:r>
                    <w:t>0,426</w:t>
                  </w:r>
                </w:p>
              </w:tc>
            </w:tr>
            <w:tr w14:paraId="7791A944">
              <w:tblPrEx>
                <w:tblCellMar>
                  <w:top w:w="0" w:type="dxa"/>
                  <w:left w:w="108" w:type="dxa"/>
                  <w:bottom w:w="0" w:type="dxa"/>
                  <w:right w:w="108" w:type="dxa"/>
                </w:tblCellMar>
              </w:tblPrEx>
              <w:tc>
                <w:p w14:paraId="547780F7">
                  <w:pPr>
                    <w:pStyle w:val="24"/>
                    <w:jc w:val="center"/>
                  </w:pPr>
                  <w:r>
                    <w:t>F1-score</w:t>
                  </w:r>
                </w:p>
              </w:tc>
              <w:tc>
                <w:p w14:paraId="0B2767E2">
                  <w:pPr>
                    <w:pStyle w:val="24"/>
                    <w:jc w:val="center"/>
                  </w:pPr>
                  <w:r>
                    <w:t>0,442</w:t>
                  </w:r>
                </w:p>
              </w:tc>
              <w:tc>
                <w:p w14:paraId="222DD355">
                  <w:pPr>
                    <w:pStyle w:val="24"/>
                    <w:jc w:val="center"/>
                  </w:pPr>
                  <w:r>
                    <w:rPr>
                      <w:b/>
                      <w:bCs/>
                    </w:rPr>
                    <w:t>0,583</w:t>
                  </w:r>
                </w:p>
              </w:tc>
              <w:tc>
                <w:p w14:paraId="54FCBC8F">
                  <w:pPr>
                    <w:pStyle w:val="24"/>
                    <w:jc w:val="center"/>
                  </w:pPr>
                  <w:r>
                    <w:t>0,548</w:t>
                  </w:r>
                </w:p>
              </w:tc>
            </w:tr>
            <w:tr w14:paraId="639B9ACA">
              <w:tblPrEx>
                <w:tblCellMar>
                  <w:top w:w="0" w:type="dxa"/>
                  <w:left w:w="108" w:type="dxa"/>
                  <w:bottom w:w="0" w:type="dxa"/>
                  <w:right w:w="108" w:type="dxa"/>
                </w:tblCellMar>
              </w:tblPrEx>
              <w:tc>
                <w:p w14:paraId="2DA51D8A">
                  <w:pPr>
                    <w:pStyle w:val="24"/>
                    <w:jc w:val="center"/>
                  </w:pPr>
                  <w:r>
                    <w:t>Especificidad</w:t>
                  </w:r>
                </w:p>
              </w:tc>
              <w:tc>
                <w:p w14:paraId="068B6FAD">
                  <w:pPr>
                    <w:pStyle w:val="24"/>
                    <w:jc w:val="center"/>
                  </w:pPr>
                  <w:r>
                    <w:t>,</w:t>
                  </w:r>
                </w:p>
              </w:tc>
              <w:tc>
                <w:p w14:paraId="367A81CF">
                  <w:pPr>
                    <w:pStyle w:val="24"/>
                    <w:jc w:val="center"/>
                  </w:pPr>
                  <w:r>
                    <w:t>0,954</w:t>
                  </w:r>
                </w:p>
              </w:tc>
              <w:tc>
                <w:p w14:paraId="41D704A1">
                  <w:pPr>
                    <w:pStyle w:val="24"/>
                    <w:jc w:val="center"/>
                  </w:pPr>
                  <w:r>
                    <w:t>0,944</w:t>
                  </w:r>
                </w:p>
              </w:tc>
            </w:tr>
            <w:tr w14:paraId="300563F9">
              <w:tblPrEx>
                <w:tblCellMar>
                  <w:top w:w="0" w:type="dxa"/>
                  <w:left w:w="108" w:type="dxa"/>
                  <w:bottom w:w="0" w:type="dxa"/>
                  <w:right w:w="108" w:type="dxa"/>
                </w:tblCellMar>
              </w:tblPrEx>
              <w:tc>
                <w:p w14:paraId="5782E7FB">
                  <w:pPr>
                    <w:pStyle w:val="24"/>
                    <w:jc w:val="center"/>
                  </w:pPr>
                  <w:r>
                    <w:t>TP / FP / FN / TN</w:t>
                  </w:r>
                </w:p>
              </w:tc>
              <w:tc>
                <w:p w14:paraId="1D96A171">
                  <w:pPr>
                    <w:pStyle w:val="24"/>
                    <w:jc w:val="center"/>
                  </w:pPr>
                  <w:r>
                    <w:t>,</w:t>
                  </w:r>
                </w:p>
              </w:tc>
              <w:tc>
                <w:p w14:paraId="1D06629B">
                  <w:pPr>
                    <w:pStyle w:val="24"/>
                    <w:jc w:val="center"/>
                  </w:pPr>
                  <w:r>
                    <w:t>188.097 / 43.777 / 225.733 / 913.309</w:t>
                  </w:r>
                </w:p>
              </w:tc>
              <w:tc>
                <w:p w14:paraId="46300295">
                  <w:pPr>
                    <w:pStyle w:val="24"/>
                    <w:jc w:val="center"/>
                  </w:pPr>
                  <w:r>
                    <w:t>175.862 / 53.220 / 237.006 / 904.799</w:t>
                  </w:r>
                </w:p>
              </w:tc>
            </w:tr>
            <w:tr w14:paraId="2F261E4D">
              <w:tblPrEx>
                <w:tblCellMar>
                  <w:top w:w="0" w:type="dxa"/>
                  <w:left w:w="108" w:type="dxa"/>
                  <w:bottom w:w="0" w:type="dxa"/>
                  <w:right w:w="108" w:type="dxa"/>
                </w:tblCellMar>
              </w:tblPrEx>
              <w:tc>
                <w:p w14:paraId="6D24CA84">
                  <w:pPr>
                    <w:pStyle w:val="24"/>
                    <w:jc w:val="center"/>
                  </w:pPr>
                  <w:r>
                    <w:t>Área referencia 2020-2021</w:t>
                  </w:r>
                </w:p>
              </w:tc>
              <w:tc>
                <w:p w14:paraId="2FE1DB0A">
                  <w:pPr>
                    <w:pStyle w:val="24"/>
                    <w:jc w:val="center"/>
                  </w:pPr>
                  <w:r>
                    <w:t>376,5 km² (GMW v3)</w:t>
                  </w:r>
                </w:p>
              </w:tc>
              <w:tc>
                <w:p w14:paraId="78CC57CC">
                  <w:pPr>
                    <w:pStyle w:val="24"/>
                    <w:jc w:val="center"/>
                  </w:pPr>
                  <w:r>
                    <w:t>297 km² (INVEMAR ∩ AOI)</w:t>
                  </w:r>
                </w:p>
              </w:tc>
              <w:tc>
                <w:p w14:paraId="3C6E7F52">
                  <w:pPr>
                    <w:pStyle w:val="24"/>
                    <w:jc w:val="center"/>
                  </w:pPr>
                  <w:r>
                    <w:t>258 km² (WorldCover ∩ AOI)</w:t>
                  </w:r>
                </w:p>
              </w:tc>
            </w:tr>
            <w:tr w14:paraId="7BD521B9">
              <w:tblPrEx>
                <w:tblCellMar>
                  <w:top w:w="0" w:type="dxa"/>
                  <w:left w:w="108" w:type="dxa"/>
                  <w:bottom w:w="0" w:type="dxa"/>
                  <w:right w:w="108" w:type="dxa"/>
                </w:tblCellMar>
              </w:tblPrEx>
              <w:tc>
                <w:p w14:paraId="32D29FC0">
                  <w:pPr>
                    <w:pStyle w:val="24"/>
                    <w:jc w:val="center"/>
                  </w:pPr>
                  <w:r>
                    <w:t>Área clasificación</w:t>
                  </w:r>
                </w:p>
              </w:tc>
              <w:tc>
                <w:p w14:paraId="7F161FFB">
                  <w:pPr>
                    <w:pStyle w:val="24"/>
                    <w:jc w:val="center"/>
                  </w:pPr>
                  <w:r>
                    <w:t>556,0 km²</w:t>
                  </w:r>
                </w:p>
              </w:tc>
              <w:tc>
                <w:p w14:paraId="2186E316">
                  <w:pPr>
                    <w:pStyle w:val="24"/>
                    <w:jc w:val="center"/>
                  </w:pPr>
                  <w:r>
                    <w:t>147 km²</w:t>
                  </w:r>
                </w:p>
              </w:tc>
              <w:tc>
                <w:p w14:paraId="63ADE5E5">
                  <w:pPr>
                    <w:pStyle w:val="24"/>
                    <w:jc w:val="center"/>
                  </w:pPr>
                  <w:r>
                    <w:t>147 km²</w:t>
                  </w:r>
                </w:p>
              </w:tc>
            </w:tr>
            <w:tr w14:paraId="129FE2FD">
              <w:tblPrEx>
                <w:tblCellMar>
                  <w:top w:w="0" w:type="dxa"/>
                  <w:left w:w="108" w:type="dxa"/>
                  <w:bottom w:w="0" w:type="dxa"/>
                  <w:right w:w="108" w:type="dxa"/>
                </w:tblCellMar>
              </w:tblPrEx>
              <w:tc>
                <w:p w14:paraId="73DA0962">
                  <w:pPr>
                    <w:pStyle w:val="24"/>
                    <w:jc w:val="center"/>
                  </w:pPr>
                  <w:r>
                    <w:t>Resolución de evaluación</w:t>
                  </w:r>
                </w:p>
              </w:tc>
              <w:tc>
                <w:p w14:paraId="1910A4F9">
                  <w:pPr>
                    <w:pStyle w:val="24"/>
                    <w:jc w:val="center"/>
                  </w:pPr>
                  <w:r>
                    <w:t>25 m</w:t>
                  </w:r>
                </w:p>
              </w:tc>
              <w:tc>
                <w:p w14:paraId="66AC2C24">
                  <w:pPr>
                    <w:pStyle w:val="24"/>
                    <w:jc w:val="center"/>
                  </w:pPr>
                  <w:r>
                    <w:t>25 m</w:t>
                  </w:r>
                </w:p>
              </w:tc>
              <w:tc>
                <w:p w14:paraId="63DB61EA">
                  <w:pPr>
                    <w:pStyle w:val="24"/>
                    <w:jc w:val="center"/>
                  </w:pPr>
                  <w:r>
                    <w:t>25 m</w:t>
                  </w:r>
                </w:p>
              </w:tc>
            </w:tr>
            <w:tr w14:paraId="1A144060">
              <w:tblPrEx>
                <w:tblCellMar>
                  <w:top w:w="0" w:type="dxa"/>
                  <w:left w:w="108" w:type="dxa"/>
                  <w:bottom w:w="0" w:type="dxa"/>
                  <w:right w:w="108" w:type="dxa"/>
                </w:tblCellMar>
              </w:tblPrEx>
              <w:tc>
                <w:p w14:paraId="2D686FCE">
                  <w:pPr>
                    <w:pStyle w:val="24"/>
                    <w:jc w:val="center"/>
                  </w:pPr>
                  <w:r>
                    <w:t>Umbrales</w:t>
                  </w:r>
                </w:p>
              </w:tc>
              <w:tc>
                <w:p w14:paraId="7408DF70">
                  <w:pPr>
                    <w:pStyle w:val="24"/>
                    <w:jc w:val="center"/>
                  </w:pPr>
                  <w:r>
                    <w:t>NDVI &gt; 0,70, elev &lt; 10 m, agua &lt; 3 km</w:t>
                  </w:r>
                </w:p>
              </w:tc>
              <w:tc>
                <w:p w14:paraId="37511081">
                  <w:pPr>
                    <w:pStyle w:val="24"/>
                    <w:jc w:val="center"/>
                  </w:pPr>
                  <w:r>
                    <w:t>idem</w:t>
                  </w:r>
                </w:p>
              </w:tc>
              <w:tc>
                <w:p w14:paraId="1D762620">
                  <w:pPr>
                    <w:pStyle w:val="24"/>
                    <w:jc w:val="center"/>
                  </w:pPr>
                  <w:r>
                    <w:t>idem</w:t>
                  </w:r>
                </w:p>
              </w:tc>
            </w:tr>
            <w:bookmarkEnd w:id="47"/>
          </w:tbl>
          <w:p w14:paraId="56375779">
            <w:pPr>
              <w:spacing w:before="0" w:after="0"/>
            </w:pPr>
          </w:p>
        </w:tc>
      </w:tr>
    </w:tbl>
    <w:p w14:paraId="400A0F54">
      <w:pPr>
        <w:pStyle w:val="3"/>
      </w:pPr>
      <w:r>
        <w:rPr>
          <w:color w:val="000000"/>
        </w:rPr>
        <w:t xml:space="preserve">Como medida de </w:t>
      </w:r>
      <w:r>
        <w:rPr>
          <w:b/>
          <w:bCs/>
          <w:color w:val="000000"/>
        </w:rPr>
        <w:t>techo metodológico</w:t>
      </w:r>
      <w:r>
        <w:rPr>
          <w:color w:val="000000"/>
        </w:rPr>
        <w:t xml:space="preserve">, conviene reportar también el acuerdo directo entre las dos cartografías de referencia: la matriz de confusión INVEMAR 1:25.000 vs ESA WorldCover v200 sobre el AOI acotado arroja un F1-score de </w:t>
      </w:r>
      <w:r>
        <w:rPr>
          <w:b/>
          <w:bCs/>
          <w:color w:val="000000"/>
        </w:rPr>
        <w:t>0,833</w:t>
      </w:r>
      <w:r>
        <w:rPr>
          <w:color w:val="000000"/>
        </w:rPr>
        <w:t xml:space="preserve"> (Precisión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46"/>
    <w:p w14:paraId="291F0FD0">
      <w:pPr>
        <w:pStyle w:val="4"/>
      </w:pPr>
      <w:bookmarkStart w:id="48" w:name="Xd5feb7c9336cadb475d1af79d310ebc1e586570"/>
      <w:r>
        <w:rPr>
          <w:color w:val="000000"/>
        </w:rPr>
        <w:t>8.12 Benchmark del clasificador supervisado Random Forest</w:t>
      </w:r>
    </w:p>
    <w:p w14:paraId="69191913">
      <w:pPr>
        <w:pStyle w:val="23"/>
      </w:pPr>
      <w:r>
        <w:rPr>
          <w:color w:val="000000"/>
        </w:rPr>
        <w:t xml:space="preserve">Para cuantificar la ganancia esperable al sustituir la regla determinística por un clasificador supervisado, se implementa un </w:t>
      </w:r>
      <w:r>
        <w:rPr>
          <w:b/>
          <w:bCs/>
          <w:color w:val="000000"/>
        </w:rPr>
        <w:t>Random Forest</w:t>
      </w:r>
      <w:r>
        <w:rPr>
          <w:color w:val="000000"/>
        </w:rPr>
        <w:t xml:space="preserve"> ,clasificador supervisado de ensamble que combina cientos de árboles de decisión y promedia sus predicciones para reducir el sobreajuste de un árbol único, dentro de GEE sobre la misma imagen mediana Sentinel-2 del periodo actual y el mismo AOI, siguiendo el notebook </w:t>
      </w:r>
      <w:r>
        <w:rPr>
          <w:rStyle w:val="36"/>
          <w:color w:val="000000"/>
        </w:rPr>
        <w:t>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 </w:t>
      </w:r>
      <w:r>
        <w:rPr>
          <w:color w:val="000000"/>
        </w:rPr>
        <w:fldChar w:fldCharType="begin"/>
      </w:r>
      <w:r>
        <w:rPr>
          <w:color w:val="000000"/>
        </w:rPr>
        <w:instrText xml:space="preserve"> HYPERLINK \l "tbl-benchmark-rf" \h </w:instrText>
      </w:r>
      <w:r>
        <w:rPr>
          <w:color w:val="000000"/>
        </w:rPr>
        <w:fldChar w:fldCharType="separate"/>
      </w:r>
      <w:r>
        <w:rPr>
          <w:rStyle w:val="16"/>
          <w:color w:val="000000"/>
        </w:rPr>
        <w:t>tabla 8</w:t>
      </w:r>
      <w:r>
        <w:rPr>
          <w:rStyle w:val="16"/>
          <w:color w:val="000000"/>
        </w:rPr>
        <w:fldChar w:fldCharType="end"/>
      </w:r>
      <w:r>
        <w:rPr>
          <w:color w:val="000000"/>
        </w:rPr>
        <w:t>.</w:t>
      </w:r>
    </w:p>
    <w:tbl>
      <w:tblPr>
        <w:tblW w:w="5000" w:type="pct"/>
        <w:tblInd w:w="0" w:type="dxa"/>
        <w:tblLayout w:type="autofit"/>
        <w:tblCellMar>
          <w:top w:w="0" w:type="dxa"/>
          <w:left w:w="10" w:type="dxa"/>
          <w:bottom w:w="0" w:type="dxa"/>
          <w:right w:w="1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4101B4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50B0D974">
            <w:pPr>
              <w:pStyle w:val="33"/>
              <w:spacing w:before="0" w:after="0"/>
              <w:jc w:val="left"/>
            </w:pPr>
            <w:bookmarkStart w:id="49" w:name="tbl-benchmark-rf"/>
            <w:r>
              <w:rPr>
                <w:b/>
                <w:color w:val="FFFFFF"/>
                <w:sz w:val="20"/>
              </w:rPr>
              <w:t>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29"/>
              <w:tblW w:w="5000" w:type="pct"/>
              <w:tblInd w:w="0" w:type="dxa"/>
              <w:tblLayout w:type="autofit"/>
              <w:tblCellMar>
                <w:top w:w="0" w:type="dxa"/>
                <w:left w:w="108" w:type="dxa"/>
                <w:bottom w:w="0" w:type="dxa"/>
                <w:right w:w="108" w:type="dxa"/>
              </w:tblCellMar>
            </w:tblPr>
            <w:tblGrid>
              <w:gridCol w:w="2013"/>
              <w:gridCol w:w="1978"/>
              <w:gridCol w:w="711"/>
              <w:gridCol w:w="1035"/>
              <w:gridCol w:w="778"/>
              <w:gridCol w:w="1414"/>
              <w:gridCol w:w="711"/>
            </w:tblGrid>
            <w:tr w14:paraId="1EA85003">
              <w:tblPrEx>
                <w:tblCellMar>
                  <w:top w:w="0" w:type="dxa"/>
                  <w:left w:w="108" w:type="dxa"/>
                  <w:bottom w:w="0" w:type="dxa"/>
                  <w:right w:w="108" w:type="dxa"/>
                </w:tblCellMar>
              </w:tblPrEx>
              <w:trPr>
                <w:tblHeader/>
              </w:trPr>
              <w:tc>
                <w:p w14:paraId="762CF1C7">
                  <w:pPr>
                    <w:pStyle w:val="24"/>
                    <w:jc w:val="center"/>
                  </w:pPr>
                  <w:r>
                    <w:t>Método</w:t>
                  </w:r>
                </w:p>
              </w:tc>
              <w:tc>
                <w:p w14:paraId="22893B26">
                  <w:pPr>
                    <w:pStyle w:val="24"/>
                    <w:jc w:val="center"/>
                  </w:pPr>
                  <w:r>
                    <w:t>Referencia</w:t>
                  </w:r>
                </w:p>
              </w:tc>
              <w:tc>
                <w:p w14:paraId="28FF9DE3">
                  <w:pPr>
                    <w:pStyle w:val="24"/>
                    <w:jc w:val="center"/>
                  </w:pPr>
                  <w:r>
                    <w:t>F1</w:t>
                  </w:r>
                </w:p>
              </w:tc>
              <w:tc>
                <w:p w14:paraId="7B32DFFB">
                  <w:pPr>
                    <w:pStyle w:val="24"/>
                    <w:jc w:val="center"/>
                  </w:pPr>
                  <w:r>
                    <w:t>Precisión</w:t>
                  </w:r>
                </w:p>
              </w:tc>
              <w:tc>
                <w:p w14:paraId="35CE49BB">
                  <w:pPr>
                    <w:pStyle w:val="24"/>
                    <w:jc w:val="center"/>
                  </w:pPr>
                  <w:r>
                    <w:t>Recall</w:t>
                  </w:r>
                </w:p>
              </w:tc>
              <w:tc>
                <w:p w14:paraId="78677ACD">
                  <w:pPr>
                    <w:pStyle w:val="24"/>
                    <w:jc w:val="center"/>
                  </w:pPr>
                  <w:r>
                    <w:t>Especificidad</w:t>
                  </w:r>
                </w:p>
              </w:tc>
              <w:tc>
                <w:p w14:paraId="6E795B12">
                  <w:pPr>
                    <w:pStyle w:val="24"/>
                    <w:jc w:val="center"/>
                  </w:pPr>
                  <w:r>
                    <w:t>OA</w:t>
                  </w:r>
                </w:p>
              </w:tc>
            </w:tr>
            <w:tr w14:paraId="31798E5B">
              <w:tblPrEx>
                <w:tblCellMar>
                  <w:top w:w="0" w:type="dxa"/>
                  <w:left w:w="108" w:type="dxa"/>
                  <w:bottom w:w="0" w:type="dxa"/>
                  <w:right w:w="108" w:type="dxa"/>
                </w:tblCellMar>
              </w:tblPrEx>
              <w:tc>
                <w:p w14:paraId="2B35A952">
                  <w:pPr>
                    <w:pStyle w:val="24"/>
                    <w:jc w:val="center"/>
                  </w:pPr>
                  <w:r>
                    <w:t>Umbrales NDVI/CMRI</w:t>
                  </w:r>
                </w:p>
              </w:tc>
              <w:tc>
                <w:p w14:paraId="0AED40EC">
                  <w:pPr>
                    <w:pStyle w:val="24"/>
                    <w:jc w:val="center"/>
                  </w:pPr>
                  <w:r>
                    <w:t>INVEMAR 1:25.000</w:t>
                  </w:r>
                </w:p>
              </w:tc>
              <w:tc>
                <w:p w14:paraId="6C58B80E">
                  <w:pPr>
                    <w:pStyle w:val="24"/>
                    <w:jc w:val="center"/>
                  </w:pPr>
                  <w:r>
                    <w:t>0,583</w:t>
                  </w:r>
                </w:p>
              </w:tc>
              <w:tc>
                <w:p w14:paraId="6A399714">
                  <w:pPr>
                    <w:pStyle w:val="24"/>
                    <w:jc w:val="center"/>
                  </w:pPr>
                  <w:r>
                    <w:t>0,811</w:t>
                  </w:r>
                </w:p>
              </w:tc>
              <w:tc>
                <w:p w14:paraId="4FDA581E">
                  <w:pPr>
                    <w:pStyle w:val="24"/>
                    <w:jc w:val="center"/>
                  </w:pPr>
                  <w:r>
                    <w:t>0,454</w:t>
                  </w:r>
                </w:p>
              </w:tc>
              <w:tc>
                <w:p w14:paraId="0A9C7DA8">
                  <w:pPr>
                    <w:pStyle w:val="24"/>
                    <w:jc w:val="center"/>
                  </w:pPr>
                  <w:r>
                    <w:t>0,954</w:t>
                  </w:r>
                </w:p>
              </w:tc>
              <w:tc>
                <w:p w14:paraId="05965F10">
                  <w:pPr>
                    <w:pStyle w:val="24"/>
                    <w:jc w:val="center"/>
                  </w:pPr>
                  <w:r>
                    <w:t>0,803</w:t>
                  </w:r>
                </w:p>
              </w:tc>
            </w:tr>
            <w:tr w14:paraId="310011FE">
              <w:tblPrEx>
                <w:tblCellMar>
                  <w:top w:w="0" w:type="dxa"/>
                  <w:left w:w="108" w:type="dxa"/>
                  <w:bottom w:w="0" w:type="dxa"/>
                  <w:right w:w="108" w:type="dxa"/>
                </w:tblCellMar>
              </w:tblPrEx>
              <w:tc>
                <w:p w14:paraId="4613CD04">
                  <w:pPr>
                    <w:pStyle w:val="24"/>
                    <w:jc w:val="center"/>
                  </w:pPr>
                  <w:r>
                    <w:t>Umbrales NDVI/CMRI</w:t>
                  </w:r>
                </w:p>
              </w:tc>
              <w:tc>
                <w:p w14:paraId="365D395C">
                  <w:pPr>
                    <w:pStyle w:val="24"/>
                    <w:jc w:val="center"/>
                  </w:pPr>
                  <w:r>
                    <w:t>ESA WorldCover v200</w:t>
                  </w:r>
                </w:p>
              </w:tc>
              <w:tc>
                <w:p w14:paraId="21CCA560">
                  <w:pPr>
                    <w:pStyle w:val="24"/>
                    <w:jc w:val="center"/>
                  </w:pPr>
                  <w:r>
                    <w:t>0,548</w:t>
                  </w:r>
                </w:p>
              </w:tc>
              <w:tc>
                <w:p w14:paraId="73698C82">
                  <w:pPr>
                    <w:pStyle w:val="24"/>
                    <w:jc w:val="center"/>
                  </w:pPr>
                  <w:r>
                    <w:t>0,768</w:t>
                  </w:r>
                </w:p>
              </w:tc>
              <w:tc>
                <w:p w14:paraId="5244215A">
                  <w:pPr>
                    <w:pStyle w:val="24"/>
                    <w:jc w:val="center"/>
                  </w:pPr>
                  <w:r>
                    <w:t>0,426</w:t>
                  </w:r>
                </w:p>
              </w:tc>
              <w:tc>
                <w:p w14:paraId="47012B8B">
                  <w:pPr>
                    <w:pStyle w:val="24"/>
                    <w:jc w:val="center"/>
                  </w:pPr>
                  <w:r>
                    <w:t>0,944</w:t>
                  </w:r>
                </w:p>
              </w:tc>
              <w:tc>
                <w:p w14:paraId="2EDF25B0">
                  <w:pPr>
                    <w:pStyle w:val="24"/>
                    <w:jc w:val="center"/>
                  </w:pPr>
                  <w:r>
                    <w:t>0,788</w:t>
                  </w:r>
                </w:p>
              </w:tc>
            </w:tr>
            <w:tr w14:paraId="515F2415">
              <w:tblPrEx>
                <w:tblCellMar>
                  <w:top w:w="0" w:type="dxa"/>
                  <w:left w:w="108" w:type="dxa"/>
                  <w:bottom w:w="0" w:type="dxa"/>
                  <w:right w:w="108" w:type="dxa"/>
                </w:tblCellMar>
              </w:tblPrEx>
              <w:tc>
                <w:p w14:paraId="178021F6">
                  <w:pPr>
                    <w:pStyle w:val="24"/>
                    <w:jc w:val="center"/>
                  </w:pPr>
                  <w:r>
                    <w:rPr>
                      <w:b/>
                      <w:bCs/>
                    </w:rPr>
                    <w:t>Random Forest</w:t>
                  </w:r>
                </w:p>
              </w:tc>
              <w:tc>
                <w:p w14:paraId="256B9348">
                  <w:pPr>
                    <w:pStyle w:val="24"/>
                    <w:jc w:val="center"/>
                  </w:pPr>
                  <w:r>
                    <w:t>INVEMAR 1:25.000</w:t>
                  </w:r>
                </w:p>
              </w:tc>
              <w:tc>
                <w:p w14:paraId="1A552E57">
                  <w:pPr>
                    <w:pStyle w:val="24"/>
                    <w:jc w:val="center"/>
                  </w:pPr>
                  <w:r>
                    <w:rPr>
                      <w:b/>
                      <w:bCs/>
                    </w:rPr>
                    <w:t>0,826</w:t>
                  </w:r>
                </w:p>
              </w:tc>
              <w:tc>
                <w:p w14:paraId="500F9F07">
                  <w:pPr>
                    <w:pStyle w:val="24"/>
                    <w:jc w:val="center"/>
                  </w:pPr>
                  <w:r>
                    <w:t>0,745</w:t>
                  </w:r>
                </w:p>
              </w:tc>
              <w:tc>
                <w:p w14:paraId="512C320B">
                  <w:pPr>
                    <w:pStyle w:val="24"/>
                    <w:jc w:val="center"/>
                  </w:pPr>
                  <w:r>
                    <w:rPr>
                      <w:b/>
                      <w:bCs/>
                    </w:rPr>
                    <w:t>0,926</w:t>
                  </w:r>
                </w:p>
              </w:tc>
              <w:tc>
                <w:p w14:paraId="588C16EA">
                  <w:pPr>
                    <w:pStyle w:val="24"/>
                    <w:jc w:val="center"/>
                  </w:pPr>
                  <w:r>
                    <w:t>0,884</w:t>
                  </w:r>
                </w:p>
              </w:tc>
              <w:tc>
                <w:p w14:paraId="44A9DFD4">
                  <w:pPr>
                    <w:pStyle w:val="24"/>
                    <w:jc w:val="center"/>
                  </w:pPr>
                  <w:r>
                    <w:rPr>
                      <w:b/>
                      <w:bCs/>
                    </w:rPr>
                    <w:t>0,895</w:t>
                  </w:r>
                </w:p>
              </w:tc>
            </w:tr>
            <w:tr w14:paraId="410BAFF3">
              <w:tblPrEx>
                <w:tblCellMar>
                  <w:top w:w="0" w:type="dxa"/>
                  <w:left w:w="108" w:type="dxa"/>
                  <w:bottom w:w="0" w:type="dxa"/>
                  <w:right w:w="108" w:type="dxa"/>
                </w:tblCellMar>
              </w:tblPrEx>
              <w:tc>
                <w:p w14:paraId="21A44ACC">
                  <w:pPr>
                    <w:pStyle w:val="24"/>
                    <w:jc w:val="center"/>
                  </w:pPr>
                  <w:r>
                    <w:rPr>
                      <w:b/>
                      <w:bCs/>
                    </w:rPr>
                    <w:t>Random Forest</w:t>
                  </w:r>
                </w:p>
              </w:tc>
              <w:tc>
                <w:p w14:paraId="47AD04A5">
                  <w:pPr>
                    <w:pStyle w:val="24"/>
                    <w:jc w:val="center"/>
                  </w:pPr>
                  <w:r>
                    <w:t>ESA WorldCover v200</w:t>
                  </w:r>
                </w:p>
              </w:tc>
              <w:tc>
                <w:p w14:paraId="48F98FB9">
                  <w:pPr>
                    <w:pStyle w:val="24"/>
                    <w:jc w:val="center"/>
                  </w:pPr>
                  <w:r>
                    <w:rPr>
                      <w:b/>
                      <w:bCs/>
                    </w:rPr>
                    <w:t>0,889</w:t>
                  </w:r>
                </w:p>
              </w:tc>
              <w:tc>
                <w:p w14:paraId="7618B547">
                  <w:pPr>
                    <w:pStyle w:val="24"/>
                    <w:jc w:val="center"/>
                  </w:pPr>
                  <w:r>
                    <w:t>0,846</w:t>
                  </w:r>
                </w:p>
              </w:tc>
              <w:tc>
                <w:p w14:paraId="664B9994">
                  <w:pPr>
                    <w:pStyle w:val="24"/>
                    <w:jc w:val="center"/>
                  </w:pPr>
                  <w:r>
                    <w:rPr>
                      <w:b/>
                      <w:bCs/>
                    </w:rPr>
                    <w:t>0,937</w:t>
                  </w:r>
                </w:p>
              </w:tc>
              <w:tc>
                <w:p w14:paraId="57B71A12">
                  <w:pPr>
                    <w:pStyle w:val="24"/>
                    <w:jc w:val="center"/>
                  </w:pPr>
                  <w:r>
                    <w:t>0,926</w:t>
                  </w:r>
                </w:p>
              </w:tc>
              <w:tc>
                <w:p w14:paraId="3AA011DF">
                  <w:pPr>
                    <w:pStyle w:val="24"/>
                    <w:jc w:val="center"/>
                  </w:pPr>
                  <w:r>
                    <w:rPr>
                      <w:b/>
                      <w:bCs/>
                    </w:rPr>
                    <w:t>0,930</w:t>
                  </w:r>
                </w:p>
              </w:tc>
            </w:tr>
            <w:bookmarkEnd w:id="49"/>
          </w:tbl>
          <w:p w14:paraId="573EEEEF">
            <w:pPr>
              <w:spacing w:before="0" w:after="0"/>
            </w:pPr>
          </w:p>
        </w:tc>
      </w:tr>
    </w:tbl>
    <w:p w14:paraId="44B7723C">
      <w:pPr>
        <w:pStyle w:val="3"/>
      </w:pPr>
      <w:r>
        <w:rPr>
          <w:color w:val="000000"/>
        </w:rPr>
        <w:t xml:space="preserve"> </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1C1D94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E84C9FB">
            <w:pPr>
              <w:pStyle w:val="24"/>
              <w:jc w:val="center"/>
            </w:pPr>
            <w:bookmarkStart w:id="50" w:name="fig-rf-importance"/>
            <w:r>
              <w:rPr>
                <w:color w:val="000000"/>
              </w:rPr>
              <w:drawing>
                <wp:inline distT="0" distB="0" distL="114300" distR="114300">
                  <wp:extent cx="3627120" cy="2238375"/>
                  <wp:effectExtent l="0" t="0" r="0" b="0"/>
                  <wp:docPr id="10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pic:cNvPicPr>
                            <a:picLocks noChangeAspect="1" noChangeArrowheads="1"/>
                          </pic:cNvPicPr>
                        </pic:nvPicPr>
                        <pic:blipFill>
                          <a:blip r:embed="rId15"/>
                          <a:stretch>
                            <a:fillRect/>
                          </a:stretch>
                        </pic:blipFill>
                        <pic:spPr>
                          <a:xfrm>
                            <a:off x="0" y="0"/>
                            <a:ext cx="3627120" cy="2238553"/>
                          </a:xfrm>
                          <a:prstGeom prst="rect">
                            <a:avLst/>
                          </a:prstGeom>
                          <a:noFill/>
                          <a:ln>
                            <a:noFill/>
                          </a:ln>
                        </pic:spPr>
                      </pic:pic>
                    </a:graphicData>
                  </a:graphic>
                </wp:inline>
              </w:drawing>
            </w:r>
          </w:p>
          <w:p w14:paraId="275C043E">
            <w:pPr>
              <w:pStyle w:val="33"/>
              <w:spacing w:before="200"/>
              <w:jc w:val="left"/>
            </w:pPr>
            <w:r>
              <w:rPr>
                <w:color w:val="000000"/>
              </w:rPr>
              <w:t>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50"/>
        </w:tc>
      </w:tr>
    </w:tbl>
    <w:p w14:paraId="70F58363">
      <w:pPr>
        <w:pStyle w:val="3"/>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 </w:t>
      </w:r>
      <w:r>
        <w:rPr>
          <w:color w:val="000000"/>
        </w:rPr>
        <w:fldChar w:fldCharType="begin"/>
      </w:r>
      <w:r>
        <w:rPr>
          <w:color w:val="000000"/>
        </w:rPr>
        <w:instrText xml:space="preserve"> HYPERLINK \l "fig-rf-importance" \h </w:instrText>
      </w:r>
      <w:r>
        <w:rPr>
          <w:color w:val="000000"/>
        </w:rPr>
        <w:fldChar w:fldCharType="separate"/>
      </w:r>
      <w:r>
        <w:rPr>
          <w:rStyle w:val="16"/>
          <w:color w:val="000000"/>
        </w:rPr>
        <w:t>figura 12</w:t>
      </w:r>
      <w:r>
        <w:rPr>
          <w:rStyle w:val="16"/>
          <w:color w:val="000000"/>
        </w:rPr>
        <w:fldChar w:fldCharType="end"/>
      </w:r>
      <w:r>
        <w:rPr>
          <w:color w:val="000000"/>
        </w:rPr>
        <w:t>)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48"/>
    <w:p w14:paraId="0B5D143A">
      <w:pPr>
        <w:pStyle w:val="4"/>
      </w:pPr>
      <w:bookmarkStart w:id="51" w:name="Xde26cf8f2dcf33e1d6f89eda5038d3862072d07"/>
      <w:r>
        <w:rPr>
          <w:color w:val="000000"/>
        </w:rPr>
        <w:t>8.13 Serie temporal continua Sentinel-1 SAR-VH (2018–2025)</w:t>
      </w:r>
    </w:p>
    <w:p w14:paraId="21BDFC82">
      <w:pPr>
        <w:pStyle w:val="23"/>
      </w:pPr>
      <w:r>
        <w:rPr>
          <w:color w:val="000000"/>
        </w:rPr>
        <w:t xml:space="preserve">Más allá de la detección puntual del evento de inundación de septiembre 2020 reportada en la sección anterior, se construye una </w:t>
      </w:r>
      <w:r>
        <w:rPr>
          <w:b/>
          <w:bCs/>
          <w:color w:val="000000"/>
        </w:rPr>
        <w:t>serie temporal mensual continua de backscatter Sentinel-1 SAR-VH</w:t>
      </w:r>
      <w:r>
        <w:rPr>
          <w:color w:val="000000"/>
        </w:rPr>
        <w:t xml:space="preserve"> sobre el AOI acotado para el periodo 2018-2025, mediante el notebook </w:t>
      </w:r>
      <w:r>
        <w:rPr>
          <w:rStyle w:val="36"/>
          <w:color w:val="000000"/>
        </w:rPr>
        <w:t>12_sentinel1_sar_serie.ipynb</w:t>
      </w:r>
      <w:r>
        <w:rPr>
          <w:color w:val="000000"/>
        </w:rPr>
        <w:t xml:space="preserve">. Se filtra la colección </w:t>
      </w:r>
      <w:r>
        <w:rPr>
          <w:rStyle w:val="36"/>
          <w:color w:val="000000"/>
        </w:rPr>
        <w:t>COPERNICUS/S1_GRD</w:t>
      </w:r>
      <w:r>
        <w:rPr>
          <w:color w:val="000000"/>
        </w:rPr>
        <w:t xml:space="preserve"> 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 </w:t>
      </w:r>
      <w:r>
        <w:rPr>
          <w:rStyle w:val="36"/>
          <w:color w:val="000000"/>
        </w:rPr>
        <w:t>outputs/tables/sar_vs_ndvi_correlacion.csv</w:t>
      </w:r>
      <w:r>
        <w:rPr>
          <w:color w:val="000000"/>
        </w:rPr>
        <w:t xml:space="preserve">, y permite caracterizar el desfase temporal entre la señal radárica, sensible a la humedad y estructura del dosel, y la respuesta óptica del vigor vegetativo. La figura </w:t>
      </w:r>
      <w:r>
        <w:rPr>
          <w:color w:val="000000"/>
        </w:rPr>
        <w:fldChar w:fldCharType="begin"/>
      </w:r>
      <w:r>
        <w:rPr>
          <w:color w:val="000000"/>
        </w:rPr>
        <w:instrText xml:space="preserve"> HYPERLINK \l "fig-sar-serie" \h </w:instrText>
      </w:r>
      <w:r>
        <w:rPr>
          <w:color w:val="000000"/>
        </w:rPr>
        <w:fldChar w:fldCharType="separate"/>
      </w:r>
      <w:r>
        <w:rPr>
          <w:rStyle w:val="16"/>
          <w:color w:val="000000"/>
        </w:rPr>
        <w:t>figura 13</w:t>
      </w:r>
      <w:r>
        <w:rPr>
          <w:rStyle w:val="16"/>
          <w:color w:val="000000"/>
        </w:rPr>
        <w:fldChar w:fldCharType="end"/>
      </w:r>
      <w:r>
        <w:rPr>
          <w:color w:val="000000"/>
        </w:rPr>
        <w:t xml:space="preserve"> 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7FFA1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8C7B3CB">
            <w:pPr>
              <w:pStyle w:val="24"/>
              <w:jc w:val="center"/>
            </w:pPr>
            <w:bookmarkStart w:id="52" w:name="fig-sar-serie"/>
            <w:r>
              <w:rPr>
                <w:color w:val="000000"/>
              </w:rPr>
              <w:drawing>
                <wp:inline distT="0" distB="0" distL="114300" distR="114300">
                  <wp:extent cx="3200400" cy="2660650"/>
                  <wp:effectExtent l="0" t="0" r="0" b="0"/>
                  <wp:docPr id="10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16"/>
                          <a:stretch>
                            <a:fillRect/>
                          </a:stretch>
                        </pic:blipFill>
                        <pic:spPr>
                          <a:xfrm>
                            <a:off x="0" y="0"/>
                            <a:ext cx="3200400" cy="2660771"/>
                          </a:xfrm>
                          <a:prstGeom prst="rect">
                            <a:avLst/>
                          </a:prstGeom>
                          <a:noFill/>
                          <a:ln>
                            <a:noFill/>
                          </a:ln>
                        </pic:spPr>
                      </pic:pic>
                    </a:graphicData>
                  </a:graphic>
                </wp:inline>
              </w:drawing>
            </w:r>
          </w:p>
          <w:p w14:paraId="2233B808">
            <w:pPr>
              <w:pStyle w:val="33"/>
              <w:spacing w:before="200"/>
              <w:jc w:val="left"/>
            </w:pPr>
            <w:r>
              <w:rPr>
                <w:color w:val="000000"/>
              </w:rPr>
              <w:t>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52"/>
        </w:tc>
      </w:tr>
    </w:tbl>
    <w:p w14:paraId="42B9F160">
      <w:pPr>
        <w:pStyle w:val="3"/>
      </w:pPr>
      <w:r>
        <w:rPr>
          <w:color w:val="000000"/>
        </w:rPr>
        <w:t xml:space="preserve">La figura </w:t>
      </w:r>
      <w:r>
        <w:rPr>
          <w:color w:val="000000"/>
        </w:rPr>
        <w:fldChar w:fldCharType="begin"/>
      </w:r>
      <w:r>
        <w:rPr>
          <w:color w:val="000000"/>
        </w:rPr>
        <w:instrText xml:space="preserve"> HYPERLINK \l "fig-sar-serie" \h </w:instrText>
      </w:r>
      <w:r>
        <w:rPr>
          <w:color w:val="000000"/>
        </w:rPr>
        <w:fldChar w:fldCharType="separate"/>
      </w:r>
      <w:r>
        <w:rPr>
          <w:rStyle w:val="16"/>
          <w:color w:val="000000"/>
        </w:rPr>
        <w:t>figura 13</w:t>
      </w:r>
      <w:r>
        <w:rPr>
          <w:rStyle w:val="16"/>
          <w:color w:val="000000"/>
        </w:rPr>
        <w:fldChar w:fldCharType="end"/>
      </w:r>
      <w:r>
        <w:rPr>
          <w:color w:val="000000"/>
        </w:rPr>
        <w:t xml:space="preserve"> 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 </w:t>
      </w:r>
      <w:r>
        <w:rPr>
          <w:color w:val="000000"/>
        </w:rPr>
        <w:fldChar w:fldCharType="begin"/>
      </w:r>
      <w:r>
        <w:rPr>
          <w:color w:val="000000"/>
        </w:rPr>
        <w:instrText xml:space="preserve"> HYPERLINK \l "fig-ndvi-manglar" \h </w:instrText>
      </w:r>
      <w:r>
        <w:rPr>
          <w:color w:val="000000"/>
        </w:rPr>
        <w:fldChar w:fldCharType="separate"/>
      </w:r>
      <w:r>
        <w:rPr>
          <w:rStyle w:val="16"/>
          <w:color w:val="000000"/>
        </w:rPr>
        <w:t>figura 4</w:t>
      </w:r>
      <w:r>
        <w:rPr>
          <w:rStyle w:val="16"/>
          <w:color w:val="000000"/>
        </w:rPr>
        <w:fldChar w:fldCharType="end"/>
      </w:r>
      <w:r>
        <w:rPr>
          <w:color w:val="000000"/>
        </w:rPr>
        <w:t>.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14:paraId="4089C4A3">
      <w:pPr>
        <w:pStyle w:val="3"/>
      </w:pPr>
      <w:r>
        <w:rPr>
          <w:color w:val="000000"/>
        </w:rPr>
        <w:t xml:space="preserve">El análisis de correlación cruzada de Pearson entre las series mensuales SAR-VH y NDVI z-score, calculado para rezagos de cero a tres meses sobre las ocho estaciones (tabla </w:t>
      </w:r>
      <w:r>
        <w:rPr>
          <w:b/>
          <w:bCs/>
          <w:color w:val="000000"/>
        </w:rPr>
        <w:t>?@tbl-sar-ndvi-corr</w:t>
      </w:r>
      <w:r>
        <w:rPr>
          <w:color w:val="000000"/>
        </w:rPr>
        <w:t xml:space="preserve">), arroja un resultado consistente: las cuatro estaciones del Complejo de Pajarales presentan correlaciones positivas significativas en rezago cero, CP Aguas Negras </w:t>
      </w:r>
      <m:oMath>
        <m:r>
          <m:rPr/>
          <m:t>ρ</m:t>
        </m:r>
        <m:r>
          <m:rPr>
            <m:sty m:val="p"/>
          </m:rPr>
          <m:t>=+</m:t>
        </m:r>
        <m:r>
          <m:rPr/>
          <m:t>0</m:t>
        </m:r>
        <m:r>
          <m:rPr>
            <m:sty m:val="p"/>
          </m:rPr>
          <m:t>,</m:t>
        </m:r>
        <m:r>
          <m:rPr/>
          <m:t>807</m:t>
        </m:r>
      </m:oMath>
      <w:r>
        <w:rPr>
          <w:color w:val="000000"/>
        </w:rPr>
        <w:t xml:space="preserve">, CP Luna </w:t>
      </w:r>
      <m:oMath>
        <m:r>
          <m:rPr/>
          <m:t>ρ</m:t>
        </m:r>
        <m:r>
          <m:rPr>
            <m:sty m:val="p"/>
          </m:rPr>
          <m:t>=+</m:t>
        </m:r>
        <m:r>
          <m:rPr/>
          <m:t>0</m:t>
        </m:r>
        <m:r>
          <m:rPr>
            <m:sty m:val="p"/>
          </m:rPr>
          <m:t>,</m:t>
        </m:r>
        <m:r>
          <m:rPr/>
          <m:t>731</m:t>
        </m:r>
      </m:oMath>
      <w:r>
        <w:rPr>
          <w:color w:val="000000"/>
        </w:rPr>
        <w:t xml:space="preserve">, Caño Clarín </w:t>
      </w:r>
      <m:oMath>
        <m:r>
          <m:rPr/>
          <m:t>ρ</m:t>
        </m:r>
        <m:r>
          <m:rPr>
            <m:sty m:val="p"/>
          </m:rPr>
          <m:t>=+</m:t>
        </m:r>
        <m:r>
          <m:rPr/>
          <m:t>0</m:t>
        </m:r>
        <m:r>
          <m:rPr>
            <m:sty m:val="p"/>
          </m:rPr>
          <m:t>,</m:t>
        </m:r>
        <m:r>
          <m:rPr/>
          <m:t>640</m:t>
        </m:r>
      </m:oMath>
      <w:r>
        <w:rPr>
          <w:color w:val="000000"/>
        </w:rPr>
        <w:t xml:space="preserve"> y Caño Palos </w:t>
      </w:r>
      <m:oMath>
        <m:r>
          <m:rPr/>
          <m:t>ρ</m:t>
        </m:r>
        <m:r>
          <m:rPr>
            <m:sty m:val="p"/>
          </m:rPr>
          <m:t>=+</m:t>
        </m:r>
        <m:r>
          <m:rPr/>
          <m:t>0</m:t>
        </m:r>
        <m:r>
          <m:rPr>
            <m:sty m:val="p"/>
          </m:rPr>
          <m:t>,</m:t>
        </m:r>
        <m:r>
          <m:rPr/>
          <m:t>462</m:t>
        </m:r>
      </m:oMath>
      <w:r>
        <w:rPr>
          <w:color w:val="000000"/>
        </w:rPr>
        <w:t xml:space="preserve">, todas con </w:t>
      </w:r>
      <m:oMath>
        <m:r>
          <m:rPr/>
          <m:t>p</m:t>
        </m:r>
        <m:r>
          <m:rPr>
            <m:sty m:val="p"/>
          </m:rPr>
          <m:t>&lt;</m:t>
        </m:r>
        <m:r>
          <m:rPr/>
          <m:t>0</m:t>
        </m:r>
        <m:r>
          <m:rPr>
            <m:sty m:val="p"/>
          </m:rPr>
          <m:t>,</m:t>
        </m:r>
        <m:r>
          <m:rPr/>
          <m:t>001</m:t>
        </m:r>
      </m:oMath>
      <w:r>
        <w:rPr>
          <w:color w:val="000000"/>
        </w:rPr>
        <w:t>,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sepChr m:val=""/>
            <m:endChr m:val="|"/>
          </m:dPr>
          <m:e>
            <m:r>
              <m:rPr/>
              <m:t>ρ</m:t>
            </m:r>
          </m:e>
        </m:d>
        <m:r>
          <m:rPr>
            <m:sty m:val="p"/>
          </m:rPr>
          <m:t>&lt;</m:t>
        </m:r>
        <m:r>
          <m:rPr/>
          <m:t>0</m:t>
        </m:r>
        <m:r>
          <m:rPr>
            <m:sty m:val="p"/>
          </m:rPr>
          <m:t>,</m:t>
        </m:r>
        <m:r>
          <m:rPr/>
          <m:t>20</m:t>
        </m:r>
      </m:oMath>
      <w:r>
        <w:rPr>
          <w:color w:val="000000"/>
        </w:rPr>
        <w:t xml:space="preserve">, </w:t>
      </w:r>
      <m:oMath>
        <m:r>
          <m:rPr/>
          <m:t>p</m:t>
        </m:r>
        <m:r>
          <m:rPr>
            <m:sty m:val="p"/>
          </m:rPr>
          <m:t>&gt;</m:t>
        </m:r>
        <m:r>
          <m:rPr/>
          <m:t>0</m:t>
        </m:r>
        <m:r>
          <m:rPr>
            <m:sty m:val="p"/>
          </m:rPr>
          <m:t>,</m:t>
        </m:r>
        <m:r>
          <m:rPr/>
          <m:t>17</m:t>
        </m:r>
      </m:oMath>
      <w:r>
        <w:rPr>
          <w:color w:val="000000"/>
        </w:rPr>
        <w:t>),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14:paraId="2AAEE7DE">
      <w:pPr>
        <w:pStyle w:val="3"/>
      </w:pPr>
      <w:r>
        <w:rPr>
          <w:color w:val="000000"/>
        </w:rPr>
        <w:t>El detalle por estación de las ocho correlaciones SAR-VH × NDVI con sus cuatro rezagos se reporta en el Anexo F.9 del documento complementario.</w:t>
      </w:r>
    </w:p>
    <w:bookmarkEnd w:id="51"/>
    <w:p w14:paraId="6DA1D2FF">
      <w:pPr>
        <w:pStyle w:val="4"/>
      </w:pPr>
      <w:bookmarkStart w:id="53" w:name="Xe7167eb0b79ced33a51adf83ee191983a107d43"/>
      <w:r>
        <w:rPr>
          <w:color w:val="000000"/>
        </w:rPr>
        <w:t>8.14 Módulo operativo de alertas tempranas (Nivel 2 Digital Twin)</w:t>
      </w:r>
    </w:p>
    <w:p w14:paraId="042D20B9">
      <w:pPr>
        <w:pStyle w:val="23"/>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 </w:t>
      </w:r>
      <w:r>
        <w:rPr>
          <w:rStyle w:val="36"/>
          <w:color w:val="000000"/>
        </w:rPr>
        <w:t>src/python/alertas_manglar.py</w:t>
      </w:r>
      <w:r>
        <w:rPr>
          <w:color w:val="000000"/>
        </w:rPr>
        <w:t xml:space="preserve"> clasifica cada estación en tres categorías, </w:t>
      </w:r>
      <w:r>
        <w:rPr>
          <w:b/>
          <w:bCs/>
          <w:color w:val="000000"/>
        </w:rPr>
        <w:t>estable</w:t>
      </w:r>
      <w:r>
        <w:rPr>
          <w:color w:val="000000"/>
        </w:rPr>
        <w:t xml:space="preserve">, </w:t>
      </w:r>
      <w:r>
        <w:rPr>
          <w:b/>
          <w:bCs/>
          <w:color w:val="000000"/>
        </w:rPr>
        <w:t>alerta</w:t>
      </w:r>
      <w:r>
        <w:rPr>
          <w:color w:val="000000"/>
        </w:rPr>
        <w:t xml:space="preserve"> o </w:t>
      </w:r>
      <w:r>
        <w:rPr>
          <w:b/>
          <w:bCs/>
          <w:color w:val="000000"/>
        </w:rPr>
        <w:t>crítica</w:t>
      </w:r>
      <w:r>
        <w:rPr>
          <w:color w:val="000000"/>
        </w:rPr>
        <w:t xml:space="preserve">, según la severidad de las anomalías en los últimos doce meses: el estado crítico se activa con </w:t>
      </w:r>
      <m:oMath>
        <m:r>
          <m:rPr/>
          <m:t>z</m:t>
        </m:r>
        <m:r>
          <m:rPr>
            <m:sty m:val="p"/>
          </m:rPr>
          <m:t>&lt;−</m:t>
        </m:r>
        <m:r>
          <m:rPr/>
          <m:t>2</m:t>
        </m:r>
      </m:oMath>
      <w:r>
        <w:rPr>
          <w:color w:val="000000"/>
        </w:rPr>
        <w:t xml:space="preserve"> en el último mes o dos anomalías acumuladas de esa magnitud; el estado de alerta con anomalías moderadas (</w:t>
      </w:r>
      <m:oMath>
        <m:r>
          <m:rPr>
            <m:sty m:val="p"/>
          </m:rPr>
          <m:t>−</m:t>
        </m:r>
        <m:r>
          <m:rPr/>
          <m:t>2</m:t>
        </m:r>
        <m:r>
          <m:rPr>
            <m:sty m:val="p"/>
          </m:rPr>
          <m:t>≤</m:t>
        </m:r>
        <m:r>
          <m:rPr/>
          <m:t>z</m:t>
        </m:r>
        <m:r>
          <m:rPr>
            <m:sty m:val="p"/>
          </m:rPr>
          <m:t>&lt;−</m:t>
        </m:r>
        <m:r>
          <m:rPr/>
          <m:t>1</m:t>
        </m:r>
      </m:oMath>
      <w:r>
        <w:rPr>
          <w:color w:val="000000"/>
        </w:rPr>
        <w:t xml:space="preserve">) en los últimos tres meses o dos anomalías </w:t>
      </w:r>
      <m:oMath>
        <m:r>
          <m:rPr/>
          <m:t>z</m:t>
        </m:r>
        <m:r>
          <m:rPr>
            <m:sty m:val="p"/>
          </m:rPr>
          <m:t>&lt;−</m:t>
        </m:r>
        <m:r>
          <m:rPr/>
          <m:t>1</m:t>
        </m:r>
      </m:oMath>
      <w:r>
        <w:rPr>
          <w:color w:val="000000"/>
        </w:rPr>
        <w:t xml:space="preserve"> en el año; el estable corresponde a series sin desviaciones significativas. El producto se materializa en </w:t>
      </w:r>
      <w:r>
        <w:rPr>
          <w:rStyle w:val="36"/>
          <w:color w:val="000000"/>
        </w:rPr>
        <w:t>outputs/tables/alertas_estaciones.csv</w:t>
      </w:r>
      <w:r>
        <w:rPr>
          <w:color w:val="000000"/>
        </w:rPr>
        <w:t xml:space="preserve"> y en el mapa semáforo de la figura </w:t>
      </w:r>
      <w:r>
        <w:rPr>
          <w:color w:val="000000"/>
        </w:rPr>
        <w:fldChar w:fldCharType="begin"/>
      </w:r>
      <w:r>
        <w:rPr>
          <w:color w:val="000000"/>
        </w:rPr>
        <w:instrText xml:space="preserve"> HYPERLINK \l "fig-alertas" \h </w:instrText>
      </w:r>
      <w:r>
        <w:rPr>
          <w:color w:val="000000"/>
        </w:rPr>
        <w:fldChar w:fldCharType="separate"/>
      </w:r>
      <w:r>
        <w:rPr>
          <w:rStyle w:val="16"/>
          <w:color w:val="000000"/>
        </w:rPr>
        <w:t>figura 14</w:t>
      </w:r>
      <w:r>
        <w:rPr>
          <w:rStyle w:val="16"/>
          <w:color w:val="000000"/>
        </w:rPr>
        <w:fldChar w:fldCharType="end"/>
      </w:r>
      <w:r>
        <w:rPr>
          <w:color w:val="000000"/>
        </w:rPr>
        <w:t>, ejecutable mensualmente al ingreso de nuevos composites Sentinel-2 o Sentinel-1, y constituye el prototipo funcional sobre el cual la tesis de Maestría desarrollará la transición al Nivel 3 con modelos predictivos de tendencia y simulación de escenarios climáticos.</w:t>
      </w:r>
    </w:p>
    <w:tbl>
      <w:tblPr>
        <w:tblW w:w="5000" w:type="pct"/>
        <w:tblInd w:w="0" w:type="dxa"/>
        <w:tblLayout w:type="fixed"/>
        <w:tblCellMar>
          <w:top w:w="0" w:type="dxa"/>
          <w:left w:w="10" w:type="dxa"/>
          <w:bottom w:w="0" w:type="dxa"/>
          <w:right w:w="10" w:type="dxa"/>
        </w:tblCellMar>
        <w:tblBorders>
          <w:top w:val="nil"/>
          <w:left w:val="nil"/>
          <w:bottom w:val="nil"/>
          <w:right w:val="nil"/>
          <w:insideH w:val="nil"/>
          <w:insideV w:val="nil"/>
        </w:tblBorders>
      </w:tblPr>
      <w:tblGrid>
        <w:gridCol w:w="8660"/>
      </w:tblGrid>
      <w:tr w14:paraId="41A41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13E658F">
            <w:pPr>
              <w:pStyle w:val="24"/>
              <w:jc w:val="center"/>
            </w:pPr>
            <w:bookmarkStart w:id="54" w:name="fig-alertas"/>
            <w:r>
              <w:rPr>
                <w:color w:val="000000"/>
              </w:rPr>
              <w:drawing>
                <wp:inline distT="0" distB="0" distL="114300" distR="114300">
                  <wp:extent cx="3200400" cy="2274570"/>
                  <wp:effectExtent l="0" t="0" r="0" b="0"/>
                  <wp:docPr id="1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pic:cNvPicPr>
                            <a:picLocks noChangeAspect="1" noChangeArrowheads="1"/>
                          </pic:cNvPicPr>
                        </pic:nvPicPr>
                        <pic:blipFill>
                          <a:blip r:embed="rId17"/>
                          <a:stretch>
                            <a:fillRect/>
                          </a:stretch>
                        </pic:blipFill>
                        <pic:spPr>
                          <a:xfrm>
                            <a:off x="0" y="0"/>
                            <a:ext cx="3200400" cy="2275200"/>
                          </a:xfrm>
                          <a:prstGeom prst="rect">
                            <a:avLst/>
                          </a:prstGeom>
                          <a:noFill/>
                          <a:ln>
                            <a:noFill/>
                          </a:ln>
                        </pic:spPr>
                      </pic:pic>
                    </a:graphicData>
                  </a:graphic>
                </wp:inline>
              </w:drawing>
            </w:r>
          </w:p>
          <w:p w14:paraId="7A95B8AA">
            <w:pPr>
              <w:pStyle w:val="33"/>
              <w:spacing w:before="200"/>
              <w:jc w:val="left"/>
            </w:pPr>
            <w:r>
              <w:rPr>
                <w:color w:val="000000"/>
              </w:rPr>
              <w:t>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54"/>
        </w:tc>
      </w:tr>
    </w:tbl>
    <w:p w14:paraId="085DC29E">
      <w:pPr>
        <w:pStyle w:val="3"/>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 </w:t>
      </w:r>
      <w:r>
        <w:rPr>
          <w:b/>
          <w:bCs/>
          <w:color w:val="000000"/>
        </w:rPr>
        <w:t>crítico</w:t>
      </w:r>
      <w:r>
        <w:rPr>
          <w:color w:val="000000"/>
        </w:rPr>
        <w:t xml:space="preserve">, cinco se clasifican como </w:t>
      </w:r>
      <w:r>
        <w:rPr>
          <w:b/>
          <w:bCs/>
          <w:color w:val="000000"/>
        </w:rPr>
        <w:t>estables</w:t>
      </w:r>
      <w:r>
        <w:rPr>
          <w:color w:val="000000"/>
        </w:rPr>
        <w:t>, CP Aguas Negras (</w:t>
      </w:r>
      <m:oMath>
        <m:r>
          <m:rPr/>
          <m:t>z</m:t>
        </m:r>
        <m:r>
          <m:rPr>
            <m:sty m:val="p"/>
          </m:rPr>
          <m:t>=+</m:t>
        </m:r>
        <m:r>
          <m:rPr/>
          <m:t>1</m:t>
        </m:r>
        <m:r>
          <m:rPr>
            <m:sty m:val="p"/>
          </m:rPr>
          <m:t>,</m:t>
        </m:r>
        <m:r>
          <m:rPr/>
          <m:t>63</m:t>
        </m:r>
      </m:oMath>
      <w:r>
        <w:rPr>
          <w:color w:val="000000"/>
        </w:rPr>
        <w:t>), CP Luna (</w:t>
      </w:r>
      <m:oMath>
        <m:r>
          <m:rPr/>
          <m:t>z</m:t>
        </m:r>
        <m:r>
          <m:rPr>
            <m:sty m:val="p"/>
          </m:rPr>
          <m:t>=+</m:t>
        </m:r>
        <m:r>
          <m:rPr/>
          <m:t>2</m:t>
        </m:r>
        <m:r>
          <m:rPr>
            <m:sty m:val="p"/>
          </m:rPr>
          <m:t>,</m:t>
        </m:r>
        <m:r>
          <m:rPr/>
          <m:t>38</m:t>
        </m:r>
      </m:oMath>
      <w:r>
        <w:rPr>
          <w:color w:val="000000"/>
        </w:rPr>
        <w:t>), Caño Palos (</w:t>
      </w:r>
      <m:oMath>
        <m:r>
          <m:rPr/>
          <m:t>z</m:t>
        </m:r>
        <m:r>
          <m:rPr>
            <m:sty m:val="p"/>
          </m:rPr>
          <m:t>=+</m:t>
        </m:r>
        <m:r>
          <m:rPr/>
          <m:t>1</m:t>
        </m:r>
        <m:r>
          <m:rPr>
            <m:sty m:val="p"/>
          </m:rPr>
          <m:t>,</m:t>
        </m:r>
        <m:r>
          <m:rPr/>
          <m:t>25</m:t>
        </m:r>
      </m:oMath>
      <w:r>
        <w:rPr>
          <w:color w:val="000000"/>
        </w:rPr>
        <w:t>), Isla Boquerón (</w:t>
      </w:r>
      <m:oMath>
        <m:r>
          <m:rPr/>
          <m:t>z</m:t>
        </m:r>
        <m:r>
          <m:rPr>
            <m:sty m:val="p"/>
          </m:rPr>
          <m:t>=+</m:t>
        </m:r>
        <m:r>
          <m:rPr/>
          <m:t>0</m:t>
        </m:r>
        <m:r>
          <m:rPr>
            <m:sty m:val="p"/>
          </m:rPr>
          <m:t>,</m:t>
        </m:r>
        <m:r>
          <m:rPr/>
          <m:t>81</m:t>
        </m:r>
      </m:oMath>
      <w:r>
        <w:rPr>
          <w:color w:val="000000"/>
        </w:rPr>
        <w:t>) y Punta Cerro (</w:t>
      </w:r>
      <m:oMath>
        <m:r>
          <m:rPr/>
          <m:t>z</m:t>
        </m:r>
        <m:r>
          <m:rPr>
            <m:sty m:val="p"/>
          </m:rPr>
          <m:t>=+</m:t>
        </m:r>
        <m:r>
          <m:rPr/>
          <m:t>0</m:t>
        </m:r>
        <m:r>
          <m:rPr>
            <m:sty m:val="p"/>
          </m:rPr>
          <m:t>,</m:t>
        </m:r>
        <m:r>
          <m:rPr/>
          <m:t>15</m:t>
        </m:r>
      </m:oMath>
      <w:r>
        <w:rPr>
          <w:color w:val="000000"/>
        </w:rPr>
        <w:t xml:space="preserve">), y tres permanecen bajo </w:t>
      </w:r>
      <w:r>
        <w:rPr>
          <w:b/>
          <w:bCs/>
          <w:color w:val="000000"/>
        </w:rPr>
        <w:t>alerta</w:t>
      </w:r>
      <w:r>
        <w:rPr>
          <w:color w:val="000000"/>
        </w:rPr>
        <w:t xml:space="preserve">, Caño Clarín, Punta Chino y Río Sevilla,. El análisis del subgrupo de alertas muestra que ninguna responde a una caída drástica del NDVI en el último mes (los </w:t>
      </w:r>
      <m:oMath>
        <m:r>
          <m:rPr/>
          <m:t>z</m:t>
        </m:r>
      </m:oMath>
      <w:r>
        <w:rPr>
          <w:color w:val="000000"/>
        </w:rPr>
        <w:t xml:space="preserve"> actuales se mantienen positivos) sino a la persistencia de anomalías históricas en los doce meses previos (entre una y dos anomalías </w:t>
      </w:r>
      <m:oMath>
        <m:r>
          <m:rPr/>
          <m:t>z</m:t>
        </m:r>
        <m:r>
          <m:rPr>
            <m:sty m:val="p"/>
          </m:rPr>
          <m:t>&lt;−</m:t>
        </m:r>
        <m:r>
          <m:rPr/>
          <m:t>1</m:t>
        </m:r>
        <m:r>
          <m:rPr>
            <m:sty m:val="p"/>
          </m:rPr>
          <m:t>,</m:t>
        </m:r>
        <m:r>
          <m:rPr/>
          <m:t>38</m:t>
        </m:r>
      </m:oMath>
      <w:r>
        <w:rPr>
          <w:color w:val="000000"/>
        </w:rPr>
        <w:t>),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w="5000" w:type="pct"/>
        <w:tblInd w:w="0" w:type="dxa"/>
        <w:tblLayout w:type="autofit"/>
        <w:tblCellMar>
          <w:top w:w="0" w:type="dxa"/>
          <w:left w:w="10" w:type="dxa"/>
          <w:bottom w:w="0" w:type="dxa"/>
          <w:right w:w="1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106F68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057151C2">
            <w:pPr>
              <w:pStyle w:val="33"/>
              <w:spacing w:before="0" w:after="0"/>
              <w:jc w:val="left"/>
            </w:pPr>
            <w:bookmarkStart w:id="55" w:name="tbl-alertas"/>
            <w:r>
              <w:rPr>
                <w:b/>
                <w:color w:val="FFFFFF"/>
                <w:sz w:val="20"/>
              </w:rPr>
              <w:t xml:space="preserve">Tabla 9: Estado actual del manglar de la CGSM por estación según el módulo de alertas tempranas (corte 2024-12 a 2025-12). El campo </w:t>
            </w:r>
            <w:r>
              <w:rPr>
                <w:b/>
                <w:i/>
                <w:iCs/>
                <w:color w:val="FFFFFF"/>
                <w:sz w:val="20"/>
              </w:rPr>
              <w:t>z</w:t>
            </w:r>
            <w:r>
              <w:rPr>
                <w:b/>
                <w:color w:val="FFFFFF"/>
                <w:sz w:val="20"/>
              </w:rPr>
              <w:t xml:space="preserve"> actual corresponde al z-score NDVI del último mes disponible.</w:t>
            </w:r>
          </w:p>
          <w:tbl>
            <w:tblPr>
              <w:tblStyle w:val="29"/>
              <w:tblW w:w="5000" w:type="pct"/>
              <w:tblInd w:w="0" w:type="dxa"/>
              <w:tblLayout w:type="autofit"/>
              <w:tblCellMar>
                <w:top w:w="0" w:type="dxa"/>
                <w:left w:w="108" w:type="dxa"/>
                <w:bottom w:w="0" w:type="dxa"/>
                <w:right w:w="108" w:type="dxa"/>
              </w:tblCellMar>
            </w:tblPr>
            <w:tblGrid>
              <w:gridCol w:w="2000"/>
              <w:gridCol w:w="1114"/>
              <w:gridCol w:w="1014"/>
              <w:gridCol w:w="1513"/>
              <w:gridCol w:w="2999"/>
            </w:tblGrid>
            <w:tr w14:paraId="053D1CB0">
              <w:tblPrEx>
                <w:tblCellMar>
                  <w:top w:w="0" w:type="dxa"/>
                  <w:left w:w="108" w:type="dxa"/>
                  <w:bottom w:w="0" w:type="dxa"/>
                  <w:right w:w="108" w:type="dxa"/>
                </w:tblCellMar>
              </w:tblPrEx>
              <w:trPr>
                <w:tblHeader/>
              </w:trPr>
              <w:tc>
                <w:p w14:paraId="7CFC7DF3">
                  <w:pPr>
                    <w:pStyle w:val="24"/>
                    <w:jc w:val="center"/>
                  </w:pPr>
                  <w:r>
                    <w:t>Estación</w:t>
                  </w:r>
                </w:p>
              </w:tc>
              <w:tc>
                <w:p w14:paraId="7339B73F">
                  <w:pPr>
                    <w:pStyle w:val="24"/>
                    <w:jc w:val="center"/>
                  </w:pPr>
                  <w:r>
                    <w:t>Estado</w:t>
                  </w:r>
                </w:p>
              </w:tc>
              <w:tc>
                <w:p w14:paraId="5C9C32FE">
                  <w:pPr>
                    <w:pStyle w:val="24"/>
                    <w:jc w:val="center"/>
                  </w:pPr>
                  <m:oMath>
                    <m:r>
                      <m:rPr/>
                      <m:t>z</m:t>
                    </m:r>
                  </m:oMath>
                  <w:r>
                    <w:t xml:space="preserve"> actual</w:t>
                  </w:r>
                </w:p>
              </w:tc>
              <w:tc>
                <w:p w14:paraId="07894936">
                  <w:pPr>
                    <w:pStyle w:val="24"/>
                    <w:jc w:val="center"/>
                  </w:pPr>
                  <w:r>
                    <w:t>NDVI actual</w:t>
                  </w:r>
                </w:p>
              </w:tc>
              <w:tc>
                <w:p w14:paraId="18EAECC1">
                  <w:pPr>
                    <w:pStyle w:val="24"/>
                    <w:jc w:val="center"/>
                  </w:pPr>
                  <w:r>
                    <w:t>Razón principal</w:t>
                  </w:r>
                </w:p>
              </w:tc>
            </w:tr>
            <w:tr w14:paraId="0F6C893A">
              <w:tblPrEx>
                <w:tblCellMar>
                  <w:top w:w="0" w:type="dxa"/>
                  <w:left w:w="108" w:type="dxa"/>
                  <w:bottom w:w="0" w:type="dxa"/>
                  <w:right w:w="108" w:type="dxa"/>
                </w:tblCellMar>
              </w:tblPrEx>
              <w:tc>
                <w:p w14:paraId="2B0CF03E">
                  <w:pPr>
                    <w:pStyle w:val="24"/>
                    <w:jc w:val="center"/>
                  </w:pPr>
                  <w:r>
                    <w:t>CP Aguas Negras</w:t>
                  </w:r>
                </w:p>
              </w:tc>
              <w:tc>
                <w:p w14:paraId="3091D99D">
                  <w:pPr>
                    <w:pStyle w:val="24"/>
                    <w:jc w:val="center"/>
                  </w:pPr>
                  <w:r>
                    <w:t>🟢 estable</w:t>
                  </w:r>
                </w:p>
              </w:tc>
              <w:tc>
                <w:p w14:paraId="34C1B075">
                  <w:pPr>
                    <w:pStyle w:val="24"/>
                    <w:jc w:val="center"/>
                  </w:pPr>
                  <w:r>
                    <w:t>+1,63</w:t>
                  </w:r>
                </w:p>
              </w:tc>
              <w:tc>
                <w:p w14:paraId="541C65E4">
                  <w:pPr>
                    <w:pStyle w:val="24"/>
                    <w:jc w:val="center"/>
                  </w:pPr>
                  <w:r>
                    <w:t>0,770</w:t>
                  </w:r>
                </w:p>
              </w:tc>
              <w:tc>
                <w:p w14:paraId="4FC73213">
                  <w:pPr>
                    <w:pStyle w:val="24"/>
                    <w:jc w:val="center"/>
                  </w:pPr>
                  <w:r>
                    <w:t>Sin anomalías en 12 meses</w:t>
                  </w:r>
                </w:p>
              </w:tc>
            </w:tr>
            <w:tr w14:paraId="2E6BBF38">
              <w:tblPrEx>
                <w:tblCellMar>
                  <w:top w:w="0" w:type="dxa"/>
                  <w:left w:w="108" w:type="dxa"/>
                  <w:bottom w:w="0" w:type="dxa"/>
                  <w:right w:w="108" w:type="dxa"/>
                </w:tblCellMar>
              </w:tblPrEx>
              <w:tc>
                <w:p w14:paraId="35DFE0EA">
                  <w:pPr>
                    <w:pStyle w:val="24"/>
                    <w:jc w:val="center"/>
                  </w:pPr>
                  <w:r>
                    <w:t>CP Luna</w:t>
                  </w:r>
                </w:p>
              </w:tc>
              <w:tc>
                <w:p w14:paraId="014A57A4">
                  <w:pPr>
                    <w:pStyle w:val="24"/>
                    <w:jc w:val="center"/>
                  </w:pPr>
                  <w:r>
                    <w:t>🟢 estable</w:t>
                  </w:r>
                </w:p>
              </w:tc>
              <w:tc>
                <w:p w14:paraId="228194F5">
                  <w:pPr>
                    <w:pStyle w:val="24"/>
                    <w:jc w:val="center"/>
                  </w:pPr>
                  <w:r>
                    <w:t>+2,38</w:t>
                  </w:r>
                </w:p>
              </w:tc>
              <w:tc>
                <w:p w14:paraId="5FF41DC7">
                  <w:pPr>
                    <w:pStyle w:val="24"/>
                    <w:jc w:val="center"/>
                  </w:pPr>
                  <w:r>
                    <w:t>0,664</w:t>
                  </w:r>
                </w:p>
              </w:tc>
              <w:tc>
                <w:p w14:paraId="54EB7012">
                  <w:pPr>
                    <w:pStyle w:val="24"/>
                    <w:jc w:val="center"/>
                  </w:pPr>
                  <w:r>
                    <w:t>Sin anomalías en 12 meses</w:t>
                  </w:r>
                </w:p>
              </w:tc>
            </w:tr>
            <w:tr w14:paraId="1960A149">
              <w:tblPrEx>
                <w:tblCellMar>
                  <w:top w:w="0" w:type="dxa"/>
                  <w:left w:w="108" w:type="dxa"/>
                  <w:bottom w:w="0" w:type="dxa"/>
                  <w:right w:w="108" w:type="dxa"/>
                </w:tblCellMar>
              </w:tblPrEx>
              <w:tc>
                <w:p w14:paraId="7ACE3B93">
                  <w:pPr>
                    <w:pStyle w:val="24"/>
                    <w:jc w:val="center"/>
                  </w:pPr>
                  <w:r>
                    <w:t>Caño Palos</w:t>
                  </w:r>
                </w:p>
              </w:tc>
              <w:tc>
                <w:p w14:paraId="7A451177">
                  <w:pPr>
                    <w:pStyle w:val="24"/>
                    <w:jc w:val="center"/>
                  </w:pPr>
                  <w:r>
                    <w:t>🟢 estable</w:t>
                  </w:r>
                </w:p>
              </w:tc>
              <w:tc>
                <w:p w14:paraId="33EBEFAF">
                  <w:pPr>
                    <w:pStyle w:val="24"/>
                    <w:jc w:val="center"/>
                  </w:pPr>
                  <w:r>
                    <w:t>+1,25</w:t>
                  </w:r>
                </w:p>
              </w:tc>
              <w:tc>
                <w:p w14:paraId="379448AA">
                  <w:pPr>
                    <w:pStyle w:val="24"/>
                    <w:jc w:val="center"/>
                  </w:pPr>
                  <w:r>
                    <w:t>0,849</w:t>
                  </w:r>
                </w:p>
              </w:tc>
              <w:tc>
                <w:p w14:paraId="48D59D0B">
                  <w:pPr>
                    <w:pStyle w:val="24"/>
                    <w:jc w:val="center"/>
                  </w:pPr>
                  <w:r>
                    <w:t>Sin anomalías en 12 meses</w:t>
                  </w:r>
                </w:p>
              </w:tc>
            </w:tr>
            <w:tr w14:paraId="1A7AA0DE">
              <w:tblPrEx>
                <w:tblCellMar>
                  <w:top w:w="0" w:type="dxa"/>
                  <w:left w:w="108" w:type="dxa"/>
                  <w:bottom w:w="0" w:type="dxa"/>
                  <w:right w:w="108" w:type="dxa"/>
                </w:tblCellMar>
              </w:tblPrEx>
              <w:tc>
                <w:p w14:paraId="245BAC12">
                  <w:pPr>
                    <w:pStyle w:val="24"/>
                    <w:jc w:val="center"/>
                  </w:pPr>
                  <w:r>
                    <w:t>Isla Boquerón</w:t>
                  </w:r>
                </w:p>
              </w:tc>
              <w:tc>
                <w:p w14:paraId="59611E89">
                  <w:pPr>
                    <w:pStyle w:val="24"/>
                    <w:jc w:val="center"/>
                  </w:pPr>
                  <w:r>
                    <w:t>🟢 estable</w:t>
                  </w:r>
                </w:p>
              </w:tc>
              <w:tc>
                <w:p w14:paraId="154B5507">
                  <w:pPr>
                    <w:pStyle w:val="24"/>
                    <w:jc w:val="center"/>
                  </w:pPr>
                  <w:r>
                    <w:t>+0,81</w:t>
                  </w:r>
                </w:p>
              </w:tc>
              <w:tc>
                <w:p w14:paraId="0B43808B">
                  <w:pPr>
                    <w:pStyle w:val="24"/>
                    <w:jc w:val="center"/>
                  </w:pPr>
                  <w:r>
                    <w:t>0,308</w:t>
                  </w:r>
                </w:p>
              </w:tc>
              <w:tc>
                <w:p w14:paraId="46824AEE">
                  <w:pPr>
                    <w:pStyle w:val="24"/>
                    <w:jc w:val="center"/>
                  </w:pPr>
                  <w:r>
                    <w:t>Sin anomalías</w:t>
                  </w:r>
                </w:p>
              </w:tc>
            </w:tr>
            <w:tr w14:paraId="32B00154">
              <w:tblPrEx>
                <w:tblCellMar>
                  <w:top w:w="0" w:type="dxa"/>
                  <w:left w:w="108" w:type="dxa"/>
                  <w:bottom w:w="0" w:type="dxa"/>
                  <w:right w:w="108" w:type="dxa"/>
                </w:tblCellMar>
              </w:tblPrEx>
              <w:tc>
                <w:p w14:paraId="02FA00A0">
                  <w:pPr>
                    <w:pStyle w:val="24"/>
                    <w:jc w:val="center"/>
                  </w:pPr>
                  <w:r>
                    <w:t>Punta Cerro</w:t>
                  </w:r>
                </w:p>
              </w:tc>
              <w:tc>
                <w:p w14:paraId="32536EFD">
                  <w:pPr>
                    <w:pStyle w:val="24"/>
                    <w:jc w:val="center"/>
                  </w:pPr>
                  <w:r>
                    <w:t>🟢 estable</w:t>
                  </w:r>
                </w:p>
              </w:tc>
              <w:tc>
                <w:p w14:paraId="7984037A">
                  <w:pPr>
                    <w:pStyle w:val="24"/>
                    <w:jc w:val="center"/>
                  </w:pPr>
                  <w:r>
                    <w:t>+0,15</w:t>
                  </w:r>
                </w:p>
              </w:tc>
              <w:tc>
                <w:p w14:paraId="3045B8D9">
                  <w:pPr>
                    <w:pStyle w:val="24"/>
                    <w:jc w:val="center"/>
                  </w:pPr>
                  <w:r>
                    <w:t>0,145</w:t>
                  </w:r>
                </w:p>
              </w:tc>
              <w:tc>
                <w:p w14:paraId="1F082D90">
                  <w:pPr>
                    <w:pStyle w:val="24"/>
                    <w:jc w:val="center"/>
                  </w:pPr>
                  <w:r>
                    <w:t>Sin anomalías</w:t>
                  </w:r>
                </w:p>
              </w:tc>
            </w:tr>
            <w:tr w14:paraId="4E569A64">
              <w:tblPrEx>
                <w:tblCellMar>
                  <w:top w:w="0" w:type="dxa"/>
                  <w:left w:w="108" w:type="dxa"/>
                  <w:bottom w:w="0" w:type="dxa"/>
                  <w:right w:w="108" w:type="dxa"/>
                </w:tblCellMar>
              </w:tblPrEx>
              <w:tc>
                <w:p w14:paraId="300DC779">
                  <w:pPr>
                    <w:pStyle w:val="24"/>
                    <w:jc w:val="center"/>
                  </w:pPr>
                  <w:r>
                    <w:t>Caño Clarín</w:t>
                  </w:r>
                </w:p>
              </w:tc>
              <w:tc>
                <w:p w14:paraId="78502B2F">
                  <w:pPr>
                    <w:pStyle w:val="24"/>
                    <w:jc w:val="center"/>
                  </w:pPr>
                  <w:r>
                    <w:t>🟡 alerta</w:t>
                  </w:r>
                </w:p>
              </w:tc>
              <w:tc>
                <w:p w14:paraId="55B3CA54">
                  <w:pPr>
                    <w:pStyle w:val="24"/>
                    <w:jc w:val="center"/>
                  </w:pPr>
                  <w:r>
                    <w:t>+0,31</w:t>
                  </w:r>
                </w:p>
              </w:tc>
              <w:tc>
                <w:p w14:paraId="4487DDE5">
                  <w:pPr>
                    <w:pStyle w:val="24"/>
                    <w:jc w:val="center"/>
                  </w:pPr>
                  <w:r>
                    <w:t>0,735</w:t>
                  </w:r>
                </w:p>
              </w:tc>
              <w:tc>
                <w:p w14:paraId="20DCE51D">
                  <w:pPr>
                    <w:pStyle w:val="24"/>
                    <w:jc w:val="center"/>
                  </w:pPr>
                  <w:r>
                    <w:t>2 anomalías 12 m</w:t>
                  </w:r>
                </w:p>
              </w:tc>
            </w:tr>
            <w:tr w14:paraId="75E50686">
              <w:tblPrEx>
                <w:tblCellMar>
                  <w:top w:w="0" w:type="dxa"/>
                  <w:left w:w="108" w:type="dxa"/>
                  <w:bottom w:w="0" w:type="dxa"/>
                  <w:right w:w="108" w:type="dxa"/>
                </w:tblCellMar>
              </w:tblPrEx>
              <w:tc>
                <w:p w14:paraId="52B25B0F">
                  <w:pPr>
                    <w:pStyle w:val="24"/>
                    <w:jc w:val="center"/>
                  </w:pPr>
                  <w:r>
                    <w:t>Punta Chino</w:t>
                  </w:r>
                </w:p>
              </w:tc>
              <w:tc>
                <w:p w14:paraId="1975ED21">
                  <w:pPr>
                    <w:pStyle w:val="24"/>
                    <w:jc w:val="center"/>
                  </w:pPr>
                  <w:r>
                    <w:t>🟡 alerta</w:t>
                  </w:r>
                </w:p>
              </w:tc>
              <w:tc>
                <w:p w14:paraId="208190F2">
                  <w:pPr>
                    <w:pStyle w:val="24"/>
                    <w:jc w:val="center"/>
                  </w:pPr>
                  <w:r>
                    <w:t>+0,69</w:t>
                  </w:r>
                </w:p>
              </w:tc>
              <w:tc>
                <w:p w14:paraId="6A555E09">
                  <w:pPr>
                    <w:pStyle w:val="24"/>
                    <w:jc w:val="center"/>
                  </w:pPr>
                  <w:r>
                    <w:t>0,337</w:t>
                  </w:r>
                </w:p>
              </w:tc>
              <w:tc>
                <w:p w14:paraId="1A176117">
                  <w:pPr>
                    <w:pStyle w:val="24"/>
                    <w:jc w:val="center"/>
                  </w:pPr>
                  <w:r>
                    <w:t>z mín 3 m = −1,38</w:t>
                  </w:r>
                </w:p>
              </w:tc>
            </w:tr>
            <w:tr w14:paraId="782A9DC3">
              <w:tblPrEx>
                <w:tblCellMar>
                  <w:top w:w="0" w:type="dxa"/>
                  <w:left w:w="108" w:type="dxa"/>
                  <w:bottom w:w="0" w:type="dxa"/>
                  <w:right w:w="108" w:type="dxa"/>
                </w:tblCellMar>
              </w:tblPrEx>
              <w:tc>
                <w:p w14:paraId="48C5D203">
                  <w:pPr>
                    <w:pStyle w:val="24"/>
                    <w:jc w:val="center"/>
                  </w:pPr>
                  <w:r>
                    <w:t>Río Sevilla</w:t>
                  </w:r>
                </w:p>
              </w:tc>
              <w:tc>
                <w:p w14:paraId="3F702C02">
                  <w:pPr>
                    <w:pStyle w:val="24"/>
                    <w:jc w:val="center"/>
                  </w:pPr>
                  <w:r>
                    <w:t>🟡 alerta</w:t>
                  </w:r>
                </w:p>
              </w:tc>
              <w:tc>
                <w:p w14:paraId="55D25D55">
                  <w:pPr>
                    <w:pStyle w:val="24"/>
                    <w:jc w:val="center"/>
                  </w:pPr>
                  <w:r>
                    <w:t>+0,61</w:t>
                  </w:r>
                </w:p>
              </w:tc>
              <w:tc>
                <w:p w14:paraId="6205E78B">
                  <w:pPr>
                    <w:pStyle w:val="24"/>
                    <w:jc w:val="center"/>
                  </w:pPr>
                  <w:r>
                    <w:t>0,215</w:t>
                  </w:r>
                </w:p>
              </w:tc>
              <w:tc>
                <w:p w14:paraId="63916AD9">
                  <w:pPr>
                    <w:pStyle w:val="24"/>
                    <w:jc w:val="center"/>
                  </w:pPr>
                  <w:r>
                    <w:t>z mín 3 m = −1,55; 2 anom.</w:t>
                  </w:r>
                </w:p>
              </w:tc>
            </w:tr>
            <w:bookmarkEnd w:id="55"/>
          </w:tbl>
          <w:p w14:paraId="73DA50B6">
            <w:pPr>
              <w:spacing w:before="0" w:after="0"/>
            </w:pPr>
          </w:p>
        </w:tc>
      </w:tr>
    </w:tbl>
    <w:p w14:paraId="506635FA">
      <w:pPr>
        <w:pStyle w:val="3"/>
      </w:pPr>
      <w:r>
        <w:rPr>
          <w:color w:val="000000"/>
        </w:rPr>
        <w:t xml:space="preserve">Los productos del proyecto se sintetizan en un </w:t>
      </w:r>
      <w:r>
        <w:rPr>
          <w:b/>
          <w:bCs/>
          <w:color w:val="000000"/>
        </w:rPr>
        <w:t>dashboard interactivo</w:t>
      </w:r>
      <w:r>
        <w:rPr>
          <w:color w:val="000000"/>
        </w:rPr>
        <w:t xml:space="preserve"> HTML autocontenido (</w:t>
      </w:r>
      <w:r>
        <w:rPr>
          <w:rStyle w:val="36"/>
          <w:color w:val="000000"/>
        </w:rPr>
        <w:t>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 </w:t>
      </w:r>
      <w:r>
        <w:rPr>
          <w:rStyle w:val="36"/>
          <w:color w:val="000000"/>
        </w:rPr>
        <w:t>mapId</w:t>
      </w:r>
      <w:r>
        <w:rPr>
          <w:color w:val="000000"/>
        </w:rPr>
        <w:t xml:space="preserve"> de Earth Engine tienen vigencia de algunas horas y conviene regenerar el HTML poco antes de cada sesión de presentación.</w:t>
      </w:r>
    </w:p>
    <w:bookmarkEnd w:id="23"/>
    <w:bookmarkEnd w:id="53"/>
    <w:p w14:paraId="1FD5759A">
      <w:pPr>
        <w:pStyle w:val="2"/>
      </w:pPr>
      <w:bookmarkStart w:id="56" w:name="conclusiones"/>
      <w:r>
        <w:rPr>
          <w:color w:val="000000"/>
        </w:rPr>
        <w:t>9. Conclusiones</w:t>
      </w:r>
    </w:p>
    <w:p w14:paraId="461BD028">
      <w:pPr>
        <w:pStyle w:val="23"/>
      </w:pPr>
      <w:r>
        <w:rPr>
          <w:color w:val="000000"/>
        </w:rPr>
        <w:t>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14:paraId="53BF4019">
      <w:pPr>
        <w:pStyle w:val="3"/>
      </w:pPr>
      <w:r>
        <w:rPr>
          <w:b/>
          <w:bCs/>
          <w:color w:val="000000"/>
        </w:rPr>
        <w:t>Quiebres estructurales y anomalías temporales.</w:t>
      </w:r>
      <w:r>
        <w:rPr>
          <w:color w:val="000000"/>
        </w:rPr>
        <w:t xml:space="preserve"> 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14:paraId="164CCAA7">
      <w:pPr>
        <w:pStyle w:val="3"/>
      </w:pPr>
      <w:r>
        <w:rPr>
          <w:b/>
          <w:bCs/>
          <w:color w:val="000000"/>
        </w:rPr>
        <w:t>Contracción del área con consolidación estructural y ganancia de vigor.</w:t>
      </w:r>
      <w:r>
        <w:rPr>
          <w:color w:val="000000"/>
        </w:rPr>
        <w:t xml:space="preserve"> 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 </w:t>
      </w:r>
      <w:r>
        <w:rPr>
          <w:color w:val="000000"/>
        </w:rPr>
        <w:fldChar w:fldCharType="begin"/>
      </w:r>
      <w:r>
        <w:rPr>
          <w:color w:val="000000"/>
        </w:rPr>
        <w:instrText xml:space="preserve"> HYPERLINK \l "fig-ndvi-cambio" \h </w:instrText>
      </w:r>
      <w:r>
        <w:rPr>
          <w:color w:val="000000"/>
        </w:rPr>
        <w:fldChar w:fldCharType="separate"/>
      </w:r>
      <w:r>
        <w:rPr>
          <w:rStyle w:val="16"/>
          <w:color w:val="000000"/>
        </w:rPr>
        <w:t>figura 2</w:t>
      </w:r>
      <w:r>
        <w:rPr>
          <w:rStyle w:val="16"/>
          <w:color w:val="000000"/>
        </w:rPr>
        <w:fldChar w:fldCharType="end"/>
      </w:r>
      <w:r>
        <w:rPr>
          <w:color w:val="000000"/>
        </w:rPr>
        <w:t xml:space="preserve">) y en la recuperación del NDVI mediano del manglar (figura </w:t>
      </w:r>
      <w:r>
        <w:rPr>
          <w:color w:val="000000"/>
        </w:rPr>
        <w:fldChar w:fldCharType="begin"/>
      </w:r>
      <w:r>
        <w:rPr>
          <w:color w:val="000000"/>
        </w:rPr>
        <w:instrText xml:space="preserve"> HYPERLINK \l "fig-ndvi-manglar" \h </w:instrText>
      </w:r>
      <w:r>
        <w:rPr>
          <w:color w:val="000000"/>
        </w:rPr>
        <w:fldChar w:fldCharType="separate"/>
      </w:r>
      <w:r>
        <w:rPr>
          <w:rStyle w:val="16"/>
          <w:color w:val="000000"/>
        </w:rPr>
        <w:t>figura 4</w:t>
      </w:r>
      <w:r>
        <w:rPr>
          <w:rStyle w:val="16"/>
          <w:color w:val="000000"/>
        </w:rPr>
        <w:fldChar w:fldCharType="end"/>
      </w:r>
      <w:r>
        <w:rPr>
          <w:color w:val="000000"/>
        </w:rPr>
        <w:t>),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14:paraId="6CC629AE">
      <w:pPr>
        <w:pStyle w:val="3"/>
      </w:pPr>
      <w:r>
        <w:rPr>
          <w:b/>
          <w:bCs/>
          <w:color w:val="000000"/>
        </w:rPr>
        <w:t>Inundación SAR y dinámica hídrica de largo plazo.</w:t>
      </w:r>
      <w:r>
        <w:rPr>
          <w:color w:val="000000"/>
        </w:rPr>
        <w:t xml:space="preserve"> 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14:paraId="4FA9FFF0">
      <w:pPr>
        <w:pStyle w:val="3"/>
      </w:pPr>
      <w:r>
        <w:rPr>
          <w:b/>
          <w:bCs/>
          <w:color w:val="000000"/>
        </w:rPr>
        <w:t>Validación doble + benchmark Random Forest.</w:t>
      </w:r>
      <w:r>
        <w:rPr>
          <w:color w:val="000000"/>
        </w:rPr>
        <w:t xml:space="preserve"> La clasificación por umbrales contra INVEMAR 1:25.000 y ESA WorldCover v200 arroja F1-scores convergentes de </w:t>
      </w:r>
      <w:r>
        <w:rPr>
          <w:b/>
          <w:bCs/>
          <w:color w:val="000000"/>
        </w:rPr>
        <w:t>0,583</w:t>
      </w:r>
      <w:r>
        <w:rPr>
          <w:color w:val="000000"/>
        </w:rPr>
        <w:t xml:space="preserve"> y </w:t>
      </w:r>
      <w:r>
        <w:rPr>
          <w:b/>
          <w:bCs/>
          <w:color w:val="000000"/>
        </w:rPr>
        <w:t>0,548</w:t>
      </w:r>
      <w:r>
        <w:rPr>
          <w:color w:val="000000"/>
        </w:rPr>
        <w:t xml:space="preserve"> 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 </w:t>
      </w:r>
      <w:r>
        <w:rPr>
          <w:b/>
          <w:bCs/>
          <w:color w:val="000000"/>
        </w:rPr>
        <w:t>0,826</w:t>
      </w:r>
      <w:r>
        <w:rPr>
          <w:color w:val="000000"/>
        </w:rPr>
        <w:t xml:space="preserve"> frente a INVEMAR y </w:t>
      </w:r>
      <w:r>
        <w:rPr>
          <w:b/>
          <w:bCs/>
          <w:color w:val="000000"/>
        </w:rPr>
        <w:t>0,889</w:t>
      </w:r>
      <w:r>
        <w:rPr>
          <w:color w:val="000000"/>
        </w:rPr>
        <w:t xml:space="preserve"> frente a WorldCover (tabla </w:t>
      </w:r>
      <w:r>
        <w:rPr>
          <w:color w:val="000000"/>
        </w:rPr>
        <w:fldChar w:fldCharType="begin"/>
      </w:r>
      <w:r>
        <w:rPr>
          <w:color w:val="000000"/>
        </w:rPr>
        <w:instrText xml:space="preserve"> HYPERLINK \l "tbl-benchmark-rf" \h </w:instrText>
      </w:r>
      <w:r>
        <w:rPr>
          <w:color w:val="000000"/>
        </w:rPr>
        <w:fldChar w:fldCharType="separate"/>
      </w:r>
      <w:r>
        <w:rPr>
          <w:rStyle w:val="16"/>
          <w:color w:val="000000"/>
        </w:rPr>
        <w:t>tabla 8</w:t>
      </w:r>
      <w:r>
        <w:rPr>
          <w:rStyle w:val="16"/>
          <w:color w:val="000000"/>
        </w:rPr>
        <w:fldChar w:fldCharType="end"/>
      </w:r>
      <w:r>
        <w:rPr>
          <w:color w:val="000000"/>
        </w:rPr>
        <w:t>), mejoras del 42 % y 62 % respectivamente que resuelven la subestimación de Recall del modelo determinístico; las bandas SWIR (B11 y B12) y la distancia al agua emergen como las variables más discriminantes para el manglar de la CGSM.</w:t>
      </w:r>
    </w:p>
    <w:p w14:paraId="04C9F6D5">
      <w:pPr>
        <w:pStyle w:val="3"/>
      </w:pPr>
      <w:r>
        <w:rPr>
          <w:b/>
          <w:bCs/>
          <w:color w:val="000000"/>
        </w:rPr>
        <w:t>SAR-VH continuo + alertas tempranas Nivel 2 Digital Twin.</w:t>
      </w:r>
      <w:r>
        <w:rPr>
          <w:color w:val="000000"/>
        </w:rPr>
        <w:t xml:space="preserve"> La serie temporal continua Sentinel-1 SAR-VH 2018–2025 (figura </w:t>
      </w:r>
      <w:r>
        <w:rPr>
          <w:color w:val="000000"/>
        </w:rPr>
        <w:fldChar w:fldCharType="begin"/>
      </w:r>
      <w:r>
        <w:rPr>
          <w:color w:val="000000"/>
        </w:rPr>
        <w:instrText xml:space="preserve"> HYPERLINK \l "fig-sar-serie" \h </w:instrText>
      </w:r>
      <w:r>
        <w:rPr>
          <w:color w:val="000000"/>
        </w:rPr>
        <w:fldChar w:fldCharType="separate"/>
      </w:r>
      <w:r>
        <w:rPr>
          <w:rStyle w:val="16"/>
          <w:color w:val="000000"/>
        </w:rPr>
        <w:t>figura 13</w:t>
      </w:r>
      <w:r>
        <w:rPr>
          <w:rStyle w:val="16"/>
          <w:color w:val="000000"/>
        </w:rPr>
        <w:fldChar w:fldCharType="end"/>
      </w:r>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 </w:t>
      </w:r>
      <m:oMath>
        <m:r>
          <m:rPr/>
          <m:t>ρ</m:t>
        </m:r>
        <m:r>
          <m:rPr>
            <m:sty m:val="p"/>
          </m:rPr>
          <m:t>=+</m:t>
        </m:r>
        <m:r>
          <m:rPr/>
          <m:t>0</m:t>
        </m:r>
        <m:r>
          <m:rPr>
            <m:sty m:val="p"/>
          </m:rPr>
          <m:t>,</m:t>
        </m:r>
        <m:r>
          <m:rPr/>
          <m:t>807</m:t>
        </m:r>
      </m:oMath>
      <w:r>
        <w:rPr>
          <w:color w:val="000000"/>
        </w:rPr>
        <w:t xml:space="preserve"> y CP Luna </w:t>
      </w:r>
      <m:oMath>
        <m:r>
          <m:rPr/>
          <m:t>ρ</m:t>
        </m:r>
        <m:r>
          <m:rPr>
            <m:sty m:val="p"/>
          </m:rPr>
          <m:t>=+</m:t>
        </m:r>
        <m:r>
          <m:rPr/>
          <m:t>0</m:t>
        </m:r>
        <m:r>
          <m:rPr>
            <m:sty m:val="p"/>
          </m:rPr>
          <m:t>,</m:t>
        </m:r>
        <m:r>
          <m:rPr/>
          <m:t>731</m:t>
        </m:r>
      </m:oMath>
      <w:r>
        <w:rPr>
          <w:color w:val="000000"/>
        </w:rPr>
        <w:t xml:space="preserve"> en rezago cero, ambas con </w:t>
      </w:r>
      <m:oMath>
        <m:r>
          <m:rPr/>
          <m:t>p</m:t>
        </m:r>
        <m:r>
          <m:rPr>
            <m:sty m:val="p"/>
          </m:rPr>
          <m:t>&lt;</m:t>
        </m:r>
        <m:r>
          <m:rPr/>
          <m:t>0</m:t>
        </m:r>
        <m:r>
          <m:rPr>
            <m:sty m:val="p"/>
          </m:rPr>
          <m:t>,</m:t>
        </m:r>
        <m:r>
          <m:rPr/>
          <m:t>001</m:t>
        </m:r>
      </m:oMath>
      <w:r>
        <w:rPr>
          <w:color w:val="000000"/>
        </w:rPr>
        <w:t xml:space="preserve">, tabla </w:t>
      </w:r>
      <w:r>
        <w:rPr>
          <w:b/>
          <w:bCs/>
          <w:color w:val="000000"/>
        </w:rPr>
        <w:t>?@tbl-sar-ndvi-corr</w:t>
      </w:r>
      <w:r>
        <w:rPr>
          <w:color w:val="000000"/>
        </w:rPr>
        <w:t xml:space="preserve">). La integración de las series NDVI, SAR-VH y los quiebres bfast en un módulo operativo de alertas tempranas (figura </w:t>
      </w:r>
      <w:r>
        <w:rPr>
          <w:color w:val="000000"/>
        </w:rPr>
        <w:fldChar w:fldCharType="begin"/>
      </w:r>
      <w:r>
        <w:rPr>
          <w:color w:val="000000"/>
        </w:rPr>
        <w:instrText xml:space="preserve"> HYPERLINK \l "fig-alertas" \h </w:instrText>
      </w:r>
      <w:r>
        <w:rPr>
          <w:color w:val="000000"/>
        </w:rPr>
        <w:fldChar w:fldCharType="separate"/>
      </w:r>
      <w:r>
        <w:rPr>
          <w:rStyle w:val="16"/>
          <w:color w:val="000000"/>
        </w:rPr>
        <w:t>figura 14</w:t>
      </w:r>
      <w:r>
        <w:rPr>
          <w:rStyle w:val="16"/>
          <w:color w:val="000000"/>
        </w:rPr>
        <w:fldChar w:fldCharType="end"/>
      </w:r>
      <w:r>
        <w:rPr>
          <w:color w:val="000000"/>
        </w:rPr>
        <w:t xml:space="preserve">, tabla </w:t>
      </w:r>
      <w:r>
        <w:rPr>
          <w:color w:val="000000"/>
        </w:rPr>
        <w:fldChar w:fldCharType="begin"/>
      </w:r>
      <w:r>
        <w:rPr>
          <w:color w:val="000000"/>
        </w:rPr>
        <w:instrText xml:space="preserve"> HYPERLINK \l "tbl-alertas" \h </w:instrText>
      </w:r>
      <w:r>
        <w:rPr>
          <w:color w:val="000000"/>
        </w:rPr>
        <w:fldChar w:fldCharType="separate"/>
      </w:r>
      <w:r>
        <w:rPr>
          <w:rStyle w:val="16"/>
          <w:color w:val="000000"/>
        </w:rPr>
        <w:t>tabla 9</w:t>
      </w:r>
      <w:r>
        <w:rPr>
          <w:rStyle w:val="16"/>
          <w:color w:val="000000"/>
        </w:rPr>
        <w:fldChar w:fldCharType="end"/>
      </w:r>
      <w:r>
        <w:rPr>
          <w:color w:val="000000"/>
        </w:rPr>
        <w:t xml:space="preserve">) materializa el Nivel 2 del paradigma Digital Twin: la ejecución sobre el corte 2024-12 a 2025-12 arroja cinco estaciones </w:t>
      </w:r>
      <w:r>
        <w:rPr>
          <w:b/>
          <w:bCs/>
          <w:color w:val="000000"/>
        </w:rPr>
        <w:t>estables</w:t>
      </w:r>
      <w:r>
        <w:rPr>
          <w:color w:val="000000"/>
        </w:rPr>
        <w:t xml:space="preserve">, incluidas las cuatro de manglar denso del Complejo de Pajarales, tres estaciones de borde en </w:t>
      </w:r>
      <w:r>
        <w:rPr>
          <w:b/>
          <w:bCs/>
          <w:color w:val="000000"/>
        </w:rPr>
        <w:t>alerta</w:t>
      </w:r>
      <w:r>
        <w:rPr>
          <w:color w:val="000000"/>
        </w:rPr>
        <w:t xml:space="preserve">, Río Sevilla, Punta Chino y Caño Clarín por persistencia de anomalías históricas, y ninguna en estado </w:t>
      </w:r>
      <w:r>
        <w:rPr>
          <w:b/>
          <w:bCs/>
          <w:color w:val="000000"/>
        </w:rPr>
        <w:t>crítico</w:t>
      </w:r>
      <w:r>
        <w:rPr>
          <w:color w:val="000000"/>
        </w:rPr>
        <w:t>.</w:t>
      </w:r>
    </w:p>
    <w:p w14:paraId="104173C1">
      <w:pPr>
        <w:pStyle w:val="3"/>
      </w:pPr>
      <w:r>
        <w:rPr>
          <w:b/>
          <w:bCs/>
          <w:color w:val="000000"/>
        </w:rPr>
        <w:t>Alcance, delimitaciones y limitaciones.</w:t>
      </w:r>
      <w:r>
        <w:rPr>
          <w:color w:val="000000"/>
        </w:rPr>
        <w:t xml:space="preserve"> 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14:paraId="2E8BF5C9">
      <w:pPr>
        <w:pStyle w:val="3"/>
      </w:pPr>
      <w:r>
        <w:rPr>
          <w:b/>
          <w:bCs/>
          <w:color w:val="000000"/>
        </w:rPr>
        <w:t>Trabajo futuro inmediato.</w:t>
      </w:r>
      <w:r>
        <w:rPr>
          <w:color w:val="000000"/>
        </w:rPr>
        <w:t xml:space="preserve"> Cinco líneas estructuran la continuidad operativa del proyecto:</w:t>
      </w:r>
    </w:p>
    <w:p w14:paraId="358F3D07">
      <w:pPr>
        <w:pStyle w:val="24"/>
        <w:numPr>
          <w:ilvl w:val="0"/>
          <w:numId w:val="4"/>
        </w:numPr>
      </w:pPr>
      <w:r>
        <w:rPr>
          <w:color w:val="000000"/>
        </w:rPr>
        <w:t>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14:paraId="2FA45A06">
      <w:pPr>
        <w:pStyle w:val="24"/>
        <w:numPr>
          <w:ilvl w:val="0"/>
          <w:numId w:val="4"/>
        </w:numPr>
      </w:pPr>
      <w:r>
        <w:rPr>
          <w:color w:val="000000"/>
        </w:rPr>
        <w:t>Profundizar el análisis ENSO con métricas de eventos discretos como la duración acumulada de fases La Niña, así como con el Atlantic Multidecadal Oscillation (AMO) que podría modular la dinámica de la cuenca Magdalena.</w:t>
      </w:r>
    </w:p>
    <w:p w14:paraId="2C3D48A5">
      <w:pPr>
        <w:pStyle w:val="24"/>
        <w:numPr>
          <w:ilvl w:val="0"/>
          <w:numId w:val="4"/>
        </w:numPr>
      </w:pPr>
      <w:r>
        <w:rPr>
          <w:color w:val="000000"/>
        </w:rPr>
        <w:t>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14:paraId="02EB6EAC">
      <w:pPr>
        <w:pStyle w:val="24"/>
        <w:numPr>
          <w:ilvl w:val="0"/>
          <w:numId w:val="4"/>
        </w:numPr>
      </w:pPr>
      <w:r>
        <w:rPr>
          <w:color w:val="000000"/>
        </w:rPr>
        <w:t>Extender el análisis bfast unificado al periodo 2013–2025 incorporando Landsat 8 sobre las cuatro estaciones de manglar denso.</w:t>
      </w:r>
    </w:p>
    <w:p w14:paraId="4FB52AF5">
      <w:pPr>
        <w:pStyle w:val="24"/>
        <w:numPr>
          <w:ilvl w:val="0"/>
          <w:numId w:val="4"/>
        </w:numPr>
      </w:pPr>
      <w:r>
        <w:rPr>
          <w:color w:val="000000"/>
        </w:rPr>
        <w:t>Ampliar la ventana temporal del periodo “actual” a por lo menos dos ciclos anuales adicionales (julio 2025–junio 2027) para diferenciar entre fluctuación intermedia y tendencia estable.</w:t>
      </w:r>
    </w:p>
    <w:p w14:paraId="1D5320DC">
      <w:pPr>
        <w:pStyle w:val="23"/>
      </w:pPr>
      <w:r>
        <w:rPr>
          <w:color w:val="000000"/>
        </w:rPr>
        <w:t>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p w14:paraId="13D19C13">
      <w:pPr>
        <w:pStyle w:val="4"/>
      </w:pPr>
      <w:bookmarkStart w:id="57" w:name="dimensión-humanitaria-del-monitoreo"/>
      <w:r>
        <w:rPr>
          <w:color w:val="000000"/>
        </w:rPr>
        <w:t>9.1 Dimensión humanitaria del monitoreo</w:t>
      </w:r>
    </w:p>
    <w:p w14:paraId="0CCE6479">
      <w:pPr>
        <w:pStyle w:val="23"/>
      </w:pPr>
      <w:r>
        <w:rPr>
          <w:color w:val="000000"/>
        </w:rPr>
        <w:t>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56"/>
    <w:bookmarkEnd w:id="57"/>
    <w:p w14:paraId="0E5DE32F">
      <w:pPr>
        <w:pStyle w:val="2"/>
      </w:pPr>
      <w:bookmarkStart w:id="58" w:name="referencias"/>
      <w:r>
        <w:rPr>
          <w:color w:val="000000"/>
        </w:rPr>
        <w:t>10. Referencias</w:t>
      </w:r>
    </w:p>
    <w:p w14:paraId="71EDA019">
      <w:pPr>
        <w:pStyle w:val="23"/>
      </w:pPr>
      <w:r>
        <w:rPr>
          <w:color w:val="000000"/>
        </w:rPr>
        <w:t xml:space="preserve">Beltrán, J., Rodríguez, J. C., Carbonó, E., y Blanco, J. (2022). </w:t>
      </w:r>
      <w:r>
        <w:rPr>
          <w:i/>
          <w:iCs/>
          <w:color w:val="000000"/>
        </w:rPr>
        <w:t>Datos de monitoreo de la estructura de los manglares de la Ciénaga Grande de Santa Marta (Magdalena)</w:t>
      </w:r>
      <w:r>
        <w:rPr>
          <w:color w:val="000000"/>
        </w:rPr>
        <w:t xml:space="preserve"> [Conjunto de datos]. INVEMAR. https://doi.org/10.15472/0fqdp4</w:t>
      </w:r>
    </w:p>
    <w:p w14:paraId="1C2A5A09">
      <w:pPr>
        <w:pStyle w:val="3"/>
      </w:pPr>
      <w:r>
        <w:rPr>
          <w:color w:val="000000"/>
        </w:rPr>
        <w:t xml:space="preserve">Bunting, P., Rosenqvist, A., Hilarides, L., Lucas, R. M., Thomas, T., Tadono, T., Worthington, T. A., Spalding, M., Murray, N. J., y Rebelo, L.-M. (2022). Global mangrove extent change 1996–2020: Global Mangrove Watch versión 3.0. </w:t>
      </w:r>
      <w:r>
        <w:rPr>
          <w:i/>
          <w:iCs/>
          <w:color w:val="000000"/>
        </w:rPr>
        <w:t>Remote Sensing</w:t>
      </w:r>
      <w:r>
        <w:rPr>
          <w:color w:val="000000"/>
        </w:rPr>
        <w:t xml:space="preserve">, </w:t>
      </w:r>
      <w:r>
        <w:rPr>
          <w:i/>
          <w:iCs/>
          <w:color w:val="000000"/>
        </w:rPr>
        <w:t>14</w:t>
      </w:r>
      <w:r>
        <w:rPr>
          <w:color w:val="000000"/>
        </w:rPr>
        <w:t>(15), 3657. https://doi.org/10.3390/rs14153657</w:t>
      </w:r>
    </w:p>
    <w:p w14:paraId="4367C78A">
      <w:pPr>
        <w:pStyle w:val="3"/>
      </w:pPr>
      <w:r>
        <w:rPr>
          <w:color w:val="000000"/>
        </w:rPr>
        <w:t xml:space="preserve">Comisión Conjunta del sitio Ramsar CGSM. (2026, 2 de febrero). </w:t>
      </w:r>
      <w:r>
        <w:rPr>
          <w:i/>
          <w:iCs/>
          <w:color w:val="000000"/>
        </w:rPr>
        <w:t>Plan de Manejo Ambiental del sitio Ramsar Sistema Delta Estuarino del Río Magdalena, Ciénaga Grande de Santa Marta</w:t>
      </w:r>
      <w:r>
        <w:rPr>
          <w:color w:val="000000"/>
        </w:rPr>
        <w:t xml:space="preserve"> (vigencia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14:paraId="161EDABE">
      <w:pPr>
        <w:pStyle w:val="3"/>
      </w:pPr>
      <w:r>
        <w:rPr>
          <w:color w:val="000000"/>
        </w:rPr>
        <w:t xml:space="preserve">Lu, B., Francescutto, L., Howie, S., Lin, H., Wu, Q., Hedley, N., Jamali, A., y McDonald, I. (2026). Exploring the concept of digital twins of wetlands for supporting ecosystem monitoring and management. </w:t>
      </w:r>
      <w:r>
        <w:rPr>
          <w:i/>
          <w:iCs/>
          <w:color w:val="000000"/>
        </w:rPr>
        <w:t>Big Earth Data</w:t>
      </w:r>
      <w:r>
        <w:rPr>
          <w:color w:val="000000"/>
        </w:rPr>
        <w:t xml:space="preserve">, </w:t>
      </w:r>
      <w:r>
        <w:rPr>
          <w:i/>
          <w:iCs/>
          <w:color w:val="000000"/>
        </w:rPr>
        <w:t>10</w:t>
      </w:r>
      <w:r>
        <w:rPr>
          <w:color w:val="000000"/>
        </w:rPr>
        <w:t>(1), 37–67. https://doi.org/10.1080/20964471.2025.2480446</w:t>
      </w:r>
    </w:p>
    <w:p w14:paraId="259FABE6">
      <w:pPr>
        <w:pStyle w:val="3"/>
      </w:pPr>
      <w:r>
        <w:rPr>
          <w:color w:val="000000"/>
        </w:rPr>
        <w:t xml:space="preserve">Murillo-Sandoval, P. J., Fatoyinbo, L., y Simard, M. (2022). Mangroves cover change trajectories 1984–2020: The gradual decrease of mangroves in Colombia. </w:t>
      </w:r>
      <w:r>
        <w:rPr>
          <w:i/>
          <w:iCs/>
          <w:color w:val="000000"/>
        </w:rPr>
        <w:t>Frontiers in Marine Science</w:t>
      </w:r>
      <w:r>
        <w:rPr>
          <w:color w:val="000000"/>
        </w:rPr>
        <w:t xml:space="preserve">, </w:t>
      </w:r>
      <w:r>
        <w:rPr>
          <w:i/>
          <w:iCs/>
          <w:color w:val="000000"/>
        </w:rPr>
        <w:t>9</w:t>
      </w:r>
      <w:r>
        <w:rPr>
          <w:color w:val="000000"/>
        </w:rPr>
        <w:t>, 892946. https://doi.org/10.3389/fmars.2022.892946</w:t>
      </w:r>
    </w:p>
    <w:p w14:paraId="7DD35D21">
      <w:pPr>
        <w:pStyle w:val="3"/>
      </w:pPr>
      <w:r>
        <w:rPr>
          <w:color w:val="000000"/>
        </w:rPr>
        <w:t xml:space="preserve">Funk, C., Peterson, P., Landsfeld, M., Pedreros, D., Verdin, J., Shukla, S., Husak, G., Rowland, J., Harrison, L., Hoell, A., y Michaelsen, J. (2015). The climate hazards infrared precipitation with stations: a new environmental record for monitoring extremes. </w:t>
      </w:r>
      <w:r>
        <w:rPr>
          <w:i/>
          <w:iCs/>
          <w:color w:val="000000"/>
        </w:rPr>
        <w:t>Scientific Data</w:t>
      </w:r>
      <w:r>
        <w:rPr>
          <w:color w:val="000000"/>
        </w:rPr>
        <w:t xml:space="preserve">, </w:t>
      </w:r>
      <w:r>
        <w:rPr>
          <w:i/>
          <w:iCs/>
          <w:color w:val="000000"/>
        </w:rPr>
        <w:t>2</w:t>
      </w:r>
      <w:r>
        <w:rPr>
          <w:color w:val="000000"/>
        </w:rPr>
        <w:t>, 150066. https://doi.org/10.1038/sdata.2015.66</w:t>
      </w:r>
    </w:p>
    <w:p w14:paraId="00A06CCF">
      <w:pPr>
        <w:pStyle w:val="3"/>
      </w:pPr>
      <w:r>
        <w:rPr>
          <w:color w:val="000000"/>
        </w:rPr>
        <w:t xml:space="preserve">Giri, C., Ochieng, E., Tieszen, L. L., Zhu, Z., Singh, A., Loveland, T., Masek, J., y Duke, N. (2011). Status and distribution of mangrove forests of the world using earth observation satellite data. </w:t>
      </w:r>
      <w:r>
        <w:rPr>
          <w:i/>
          <w:iCs/>
          <w:color w:val="000000"/>
        </w:rPr>
        <w:t>Global Ecology and Biogeography</w:t>
      </w:r>
      <w:r>
        <w:rPr>
          <w:color w:val="000000"/>
        </w:rPr>
        <w:t xml:space="preserve">, </w:t>
      </w:r>
      <w:r>
        <w:rPr>
          <w:i/>
          <w:iCs/>
          <w:color w:val="000000"/>
        </w:rPr>
        <w:t>20</w:t>
      </w:r>
      <w:r>
        <w:rPr>
          <w:color w:val="000000"/>
        </w:rPr>
        <w:t>(1), 154–159. https://doi.org/10.1111/j.1466-8238.2010.00584.x</w:t>
      </w:r>
    </w:p>
    <w:p w14:paraId="5A32A6EB">
      <w:pPr>
        <w:pStyle w:val="3"/>
      </w:pPr>
      <w:r>
        <w:rPr>
          <w:color w:val="000000"/>
        </w:rPr>
        <w:t xml:space="preserve">Goldberg, L., Lagomasino, D., Thomas, N., y Fatoyinbo, T. (2020). Global declines in human-driven mangrove loss. </w:t>
      </w:r>
      <w:r>
        <w:rPr>
          <w:i/>
          <w:iCs/>
          <w:color w:val="000000"/>
        </w:rPr>
        <w:t>Global Change Biology</w:t>
      </w:r>
      <w:r>
        <w:rPr>
          <w:color w:val="000000"/>
        </w:rPr>
        <w:t xml:space="preserve">, </w:t>
      </w:r>
      <w:r>
        <w:rPr>
          <w:i/>
          <w:iCs/>
          <w:color w:val="000000"/>
        </w:rPr>
        <w:t>26</w:t>
      </w:r>
      <w:r>
        <w:rPr>
          <w:color w:val="000000"/>
        </w:rPr>
        <w:t>(10), 5844–5855. https://doi.org/10.1111/gcb.15275</w:t>
      </w:r>
    </w:p>
    <w:p w14:paraId="732DBFFF">
      <w:pPr>
        <w:pStyle w:val="3"/>
      </w:pPr>
      <w:r>
        <w:rPr>
          <w:color w:val="000000"/>
        </w:rPr>
        <w:t xml:space="preserve">Gomarasca, M. A. (2010). </w:t>
      </w:r>
      <w:r>
        <w:rPr>
          <w:i/>
          <w:iCs/>
          <w:color w:val="000000"/>
        </w:rPr>
        <w:t>Basics of geomatics</w:t>
      </w:r>
      <w:r>
        <w:rPr>
          <w:color w:val="000000"/>
        </w:rPr>
        <w:t>. Applied Geomatics, 2(3), 137–146. https://doi.org/10.1007/s12518-010-0029-6</w:t>
      </w:r>
    </w:p>
    <w:p w14:paraId="72981987">
      <w:pPr>
        <w:pStyle w:val="3"/>
      </w:pPr>
      <w:r>
        <w:rPr>
          <w:color w:val="000000"/>
        </w:rPr>
        <w:t xml:space="preserve">Gupta, K., Mukhopadhyay, A., Giri, S., Chanda, A., Datta Majumdar, S., Samanta, S., Mitra, D., Samal, R. N., Pattnaik, A. K., y Hazra, S. (2018). An index for discrimination of mangroves from non-mangroves using LANDSAT 8 OLI imagery. </w:t>
      </w:r>
      <w:r>
        <w:rPr>
          <w:i/>
          <w:iCs/>
          <w:color w:val="000000"/>
        </w:rPr>
        <w:t>MethodsX</w:t>
      </w:r>
      <w:r>
        <w:rPr>
          <w:color w:val="000000"/>
        </w:rPr>
        <w:t xml:space="preserve">, </w:t>
      </w:r>
      <w:r>
        <w:rPr>
          <w:i/>
          <w:iCs/>
          <w:color w:val="000000"/>
        </w:rPr>
        <w:t>5</w:t>
      </w:r>
      <w:r>
        <w:rPr>
          <w:color w:val="000000"/>
        </w:rPr>
        <w:t>, 1129–1139. https://doi.org/10.1016/j.mex.2018.09.011</w:t>
      </w:r>
    </w:p>
    <w:p w14:paraId="5C519C1D">
      <w:pPr>
        <w:pStyle w:val="3"/>
      </w:pPr>
      <w:r>
        <w:rPr>
          <w:color w:val="000000"/>
        </w:rPr>
        <w:t xml:space="preserve">Hamilton, S. E., y Casey, D. (2016). Creation of a high spatio-temporal resolution global database of continuous mangrove forest cover for the 21st century (CGMFC-21). </w:t>
      </w:r>
      <w:r>
        <w:rPr>
          <w:i/>
          <w:iCs/>
          <w:color w:val="000000"/>
        </w:rPr>
        <w:t>Global Ecology and Biogeography</w:t>
      </w:r>
      <w:r>
        <w:rPr>
          <w:color w:val="000000"/>
        </w:rPr>
        <w:t xml:space="preserve">, </w:t>
      </w:r>
      <w:r>
        <w:rPr>
          <w:i/>
          <w:iCs/>
          <w:color w:val="000000"/>
        </w:rPr>
        <w:t>25</w:t>
      </w:r>
      <w:r>
        <w:rPr>
          <w:color w:val="000000"/>
        </w:rPr>
        <w:t>(6), 729–738. https://doi.org/10.1111/geb.12449</w:t>
      </w:r>
    </w:p>
    <w:p w14:paraId="48E236BC">
      <w:pPr>
        <w:pStyle w:val="3"/>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 </w:t>
      </w:r>
      <w:r>
        <w:rPr>
          <w:i/>
          <w:iCs/>
          <w:color w:val="000000"/>
        </w:rPr>
        <w:t>Quarterly Journal of the Royal Meteorológical Society</w:t>
      </w:r>
      <w:r>
        <w:rPr>
          <w:color w:val="000000"/>
        </w:rPr>
        <w:t xml:space="preserve">, </w:t>
      </w:r>
      <w:r>
        <w:rPr>
          <w:i/>
          <w:iCs/>
          <w:color w:val="000000"/>
        </w:rPr>
        <w:t>146</w:t>
      </w:r>
      <w:r>
        <w:rPr>
          <w:color w:val="000000"/>
        </w:rPr>
        <w:t>(730), 1999–2049. https://doi.org/10.1002/qj.3803</w:t>
      </w:r>
    </w:p>
    <w:p w14:paraId="31D85971">
      <w:pPr>
        <w:pStyle w:val="3"/>
      </w:pPr>
      <w:r>
        <w:rPr>
          <w:color w:val="000000"/>
        </w:rPr>
        <w:t xml:space="preserve">Instituto de Hidrología, Meteorología y Estudios Ambientales. (2026). </w:t>
      </w:r>
      <w:r>
        <w:rPr>
          <w:i/>
          <w:iCs/>
          <w:color w:val="000000"/>
        </w:rPr>
        <w:t>Series de caudal mensual del río Magdalena en El Banco (estación 25027020) y del río Aracataca en Ganadería Caribe (estación 29067150)</w:t>
      </w:r>
      <w:r>
        <w:rPr>
          <w:color w:val="000000"/>
        </w:rPr>
        <w:t xml:space="preserve"> [Conjuntos de datos]. Portal DHIME. https://dhime.ideam.gov.co/</w:t>
      </w:r>
    </w:p>
    <w:p w14:paraId="44C02663">
      <w:pPr>
        <w:pStyle w:val="3"/>
      </w:pPr>
      <w:r>
        <w:rPr>
          <w:color w:val="000000"/>
        </w:rPr>
        <w:t xml:space="preserve">Instituto de Investigaciones Marinas y Costeras. (2020). </w:t>
      </w:r>
      <w:r>
        <w:rPr>
          <w:i/>
          <w:iCs/>
          <w:color w:val="000000"/>
        </w:rPr>
        <w:t>Cartografía de manglares de Colombia a escala 1:25.000 para Caribe y Pacífico</w:t>
      </w:r>
      <w:r>
        <w:rPr>
          <w:color w:val="000000"/>
        </w:rPr>
        <w:t>. Procesamiento digital de imágenes en Google Earth Engine.</w:t>
      </w:r>
    </w:p>
    <w:p w14:paraId="0A286E08">
      <w:pPr>
        <w:pStyle w:val="3"/>
      </w:pPr>
      <w:r>
        <w:rPr>
          <w:color w:val="000000"/>
        </w:rPr>
        <w:t xml:space="preserve">Instituto de Investigaciones Marinas y Costeras. (2024). </w:t>
      </w:r>
      <w:r>
        <w:rPr>
          <w:i/>
          <w:iCs/>
          <w:color w:val="000000"/>
        </w:rPr>
        <w:t>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(Vol. 23). https://www.invemar.org.co/inf-cgsm</w:t>
      </w:r>
    </w:p>
    <w:p w14:paraId="4C589858">
      <w:pPr>
        <w:pStyle w:val="3"/>
      </w:pPr>
      <w:r>
        <w:rPr>
          <w:color w:val="000000"/>
        </w:rPr>
        <w:t xml:space="preserve">Kirillov, A., Mintun, E., Ravi, N., Mao, H., Rolland, C., Gustafson, L., Xiao, T., Whitehead, S., Berg, A. C., Lo, W.-Y., Dollár, P., y Girshick, R. (2023). Segment anything. </w:t>
      </w:r>
      <w:r>
        <w:rPr>
          <w:i/>
          <w:iCs/>
          <w:color w:val="000000"/>
        </w:rPr>
        <w:t>arXiv</w:t>
      </w:r>
      <w:r>
        <w:rPr>
          <w:color w:val="000000"/>
        </w:rPr>
        <w:t>. https://doi.org/10.48550/arXiv.2304.02643</w:t>
      </w:r>
    </w:p>
    <w:p w14:paraId="7433D2E4">
      <w:pPr>
        <w:pStyle w:val="3"/>
      </w:pPr>
      <w:r>
        <w:rPr>
          <w:color w:val="000000"/>
        </w:rPr>
        <w:t xml:space="preserve">National Oceanic and Atmospheric Administration, Climate Prediction Center. (2026). </w:t>
      </w:r>
      <w:r>
        <w:rPr>
          <w:i/>
          <w:iCs/>
          <w:color w:val="000000"/>
        </w:rPr>
        <w:t>Oceanic Niño Index (ONI) y Southern Oscillation Index (SOI)</w:t>
      </w:r>
      <w:r>
        <w:rPr>
          <w:color w:val="000000"/>
        </w:rPr>
        <w:t xml:space="preserve"> [Conjuntos de datos]. https://www.cpc.ncep.noaa.gov/data/indices/</w:t>
      </w:r>
    </w:p>
    <w:p w14:paraId="4A243279">
      <w:pPr>
        <w:pStyle w:val="3"/>
      </w:pPr>
      <w:r>
        <w:rPr>
          <w:color w:val="000000"/>
        </w:rPr>
        <w:t xml:space="preserve">Olofsson, P., Foody, G. M., Herold, M., Stehman, S. V., Woodcock, C. E., y Wulder, M. A. (2014). Good práctices for estimating área and assessing accuracy of land change. </w:t>
      </w:r>
      <w:r>
        <w:rPr>
          <w:i/>
          <w:iCs/>
          <w:color w:val="000000"/>
        </w:rPr>
        <w:t>Remote Sensing of Environment</w:t>
      </w:r>
      <w:r>
        <w:rPr>
          <w:color w:val="000000"/>
        </w:rPr>
        <w:t xml:space="preserve">, </w:t>
      </w:r>
      <w:r>
        <w:rPr>
          <w:i/>
          <w:iCs/>
          <w:color w:val="000000"/>
        </w:rPr>
        <w:t>148</w:t>
      </w:r>
      <w:r>
        <w:rPr>
          <w:color w:val="000000"/>
        </w:rPr>
        <w:t>, 42–57. https://doi.org/10.1016/j.rse.2014.02.015</w:t>
      </w:r>
    </w:p>
    <w:p w14:paraId="61CFBA8A">
      <w:pPr>
        <w:pStyle w:val="3"/>
      </w:pPr>
      <w:r>
        <w:rPr>
          <w:color w:val="000000"/>
        </w:rPr>
        <w:t xml:space="preserve">Raza, S., Zhang, J., Zuo, S., y Chen, J. (2024). Time series monitoring and analysis of Pakistán’s mangrove using Sentinel-2 data. </w:t>
      </w:r>
      <w:r>
        <w:rPr>
          <w:i/>
          <w:iCs/>
          <w:color w:val="000000"/>
        </w:rPr>
        <w:t>Frontiers in Environmental Science</w:t>
      </w:r>
      <w:r>
        <w:rPr>
          <w:color w:val="000000"/>
        </w:rPr>
        <w:t xml:space="preserve">, </w:t>
      </w:r>
      <w:r>
        <w:rPr>
          <w:i/>
          <w:iCs/>
          <w:color w:val="000000"/>
        </w:rPr>
        <w:t>12</w:t>
      </w:r>
      <w:r>
        <w:rPr>
          <w:color w:val="000000"/>
        </w:rPr>
        <w:t>, 1416450. https://doi.org/10.3389/fenvs.2024.1416450</w:t>
      </w:r>
    </w:p>
    <w:p w14:paraId="5D784773">
      <w:pPr>
        <w:pStyle w:val="3"/>
      </w:pPr>
      <w:r>
        <w:rPr>
          <w:color w:val="000000"/>
        </w:rPr>
        <w:t xml:space="preserve">Selvaraj, J. J., y Gallego-Pérez, J. (2023). An enhanced approach to mangrove forest analysis in the Colombian Pacific coast using óptical and SAR data in Google Earth Engine. </w:t>
      </w:r>
      <w:r>
        <w:rPr>
          <w:i/>
          <w:iCs/>
          <w:color w:val="000000"/>
        </w:rPr>
        <w:t>Remote Sensing Applications: Society and Environment</w:t>
      </w:r>
      <w:r>
        <w:rPr>
          <w:color w:val="000000"/>
        </w:rPr>
        <w:t xml:space="preserve">, </w:t>
      </w:r>
      <w:r>
        <w:rPr>
          <w:i/>
          <w:iCs/>
          <w:color w:val="000000"/>
        </w:rPr>
        <w:t>30</w:t>
      </w:r>
      <w:r>
        <w:rPr>
          <w:color w:val="000000"/>
        </w:rPr>
        <w:t>, 100938. https://doi.org/10.1016/j.rsase.2023.100938</w:t>
      </w:r>
    </w:p>
    <w:p w14:paraId="7B83C92A">
      <w:pPr>
        <w:pStyle w:val="3"/>
      </w:pPr>
      <w:r>
        <w:rPr>
          <w:color w:val="000000"/>
        </w:rPr>
        <w:t xml:space="preserve">Vinasco, J. S., Rodríguez, D. A., Velásquez, S., Quintero, D. F., Livni, L. R., y Hernández, F. L. (2020). Coverage changes detection at Ciénaga Grande, Santa Marta – Colombia using automátic classification. </w:t>
      </w:r>
      <w:r>
        <w:rPr>
          <w:i/>
          <w:iCs/>
          <w:color w:val="000000"/>
        </w:rPr>
        <w:t>The International Archives of the Photogrammetry, Remote Sensing and Spatial Information Sciences</w:t>
      </w:r>
      <w:r>
        <w:rPr>
          <w:color w:val="000000"/>
        </w:rPr>
        <w:t xml:space="preserve">, </w:t>
      </w:r>
      <w:r>
        <w:rPr>
          <w:i/>
          <w:iCs/>
          <w:color w:val="000000"/>
        </w:rPr>
        <w:t>XLII-3/W12-2020</w:t>
      </w:r>
      <w:r>
        <w:rPr>
          <w:color w:val="000000"/>
        </w:rPr>
        <w:t>, 195–200. https://doi.org/10.5194/isprs-archives-XLII-3-W12-2020-195-2020</w:t>
      </w:r>
    </w:p>
    <w:p w14:paraId="0C1EA15E">
      <w:pPr>
        <w:pStyle w:val="3"/>
      </w:pPr>
      <w:r>
        <w:rPr>
          <w:color w:val="000000"/>
        </w:rPr>
        <w:t xml:space="preserve">Wu, Q., y Osco, L. (2023). samgeo: A Python package for segmenting geospatial data with the Segment Anything Model (SAM). </w:t>
      </w:r>
      <w:r>
        <w:rPr>
          <w:i/>
          <w:iCs/>
          <w:color w:val="000000"/>
        </w:rPr>
        <w:t>Journal of Open Source Software</w:t>
      </w:r>
      <w:r>
        <w:rPr>
          <w:color w:val="000000"/>
        </w:rPr>
        <w:t xml:space="preserve">, </w:t>
      </w:r>
      <w:r>
        <w:rPr>
          <w:i/>
          <w:iCs/>
          <w:color w:val="000000"/>
        </w:rPr>
        <w:t>8</w:t>
      </w:r>
      <w:r>
        <w:rPr>
          <w:color w:val="000000"/>
        </w:rPr>
        <w:t>(89), 5663. https://doi.org/10.21105/joss.05663</w:t>
      </w:r>
    </w:p>
    <w:p w14:paraId="383F1924">
      <w:pPr>
        <w:pStyle w:val="3"/>
      </w:pPr>
      <w:r>
        <w:rPr>
          <w:color w:val="000000"/>
        </w:rPr>
        <w:t xml:space="preserve">Yancho, J. M. M., Jones, T. G., Gandhi, S. R., Ferster, C., Lin, A., y Glass, L. (2020). The Google Earth Engine Mangrove Mapping Methodology (GEEMMM). </w:t>
      </w:r>
      <w:r>
        <w:rPr>
          <w:i/>
          <w:iCs/>
          <w:color w:val="000000"/>
        </w:rPr>
        <w:t>Remote Sensing</w:t>
      </w:r>
      <w:r>
        <w:rPr>
          <w:color w:val="000000"/>
        </w:rPr>
        <w:t xml:space="preserve">, </w:t>
      </w:r>
      <w:r>
        <w:rPr>
          <w:i/>
          <w:iCs/>
          <w:color w:val="000000"/>
        </w:rPr>
        <w:t>12</w:t>
      </w:r>
      <w:r>
        <w:rPr>
          <w:color w:val="000000"/>
        </w:rPr>
        <w:t>(22), 3758. https://doi.org/10.3390/rs12223758</w:t>
      </w:r>
    </w:p>
    <w:p w14:paraId="06FA6304">
      <w:pPr>
        <w:pStyle w:val="3"/>
      </w:pPr>
      <w:r>
        <w:rPr>
          <w:color w:val="000000"/>
        </w:rPr>
        <w:t xml:space="preserve">Zanaga, D., Van De Kerchove, R., Daems, D., De Keersmaecker, W., Brockmann, C., Kirches, G., Wevers, J., Cartus, O., Santoro, M., Fritz, S., Lesiv, M., Herold, M., Tsendbazar, N.-E., Xu, P., Ramoino, F., y Arino, O. (2022). </w:t>
      </w:r>
      <w:r>
        <w:rPr>
          <w:i/>
          <w:iCs/>
          <w:color w:val="000000"/>
        </w:rPr>
        <w:t>ESA WorldCover 10 m 2021 v200</w:t>
      </w:r>
      <w:r>
        <w:rPr>
          <w:color w:val="000000"/>
        </w:rPr>
        <w:t>. Zenodo. https://doi.org/10.5281/zenodo.7254221</w:t>
      </w:r>
    </w:p>
    <w:tbl>
      <w:tblPr>
        <w:tblW w:w="5000" w:type="pct"/>
        <w:tblInd w:w="164" w:type="dxa"/>
        <w:tblLayout w:type="autofit"/>
        <w:tblCellMar>
          <w:top w:w="0" w:type="dxa"/>
          <w:left w:w="0" w:type="dxa"/>
          <w:bottom w:w="0" w:type="dxa"/>
          <w:right w:w="0" w:type="dxa"/>
        </w:tblCellMar>
        <w:tblBorders>
          <w:top w:val="single" w:sz="4" w:color="BFBFBF"/>
          <w:left w:val="single" w:sz="4" w:color="BFBFBF"/>
          <w:bottom w:val="single" w:sz="4" w:color="BFBFBF"/>
          <w:right w:val="single" w:sz="4" w:color="BFBFBF"/>
          <w:insideH w:val="single" w:sz="4" w:color="BFBFBF"/>
          <w:insideV w:val="single" w:sz="4" w:color="BFBFBF"/>
        </w:tblBorders>
      </w:tblPr>
      <w:tblGrid>
        <w:gridCol w:w="8760"/>
      </w:tblGrid>
      <w:tr w14:paraId="26F0AC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0" w:type="dxa"/>
            <w:bottom w:w="0" w:type="dxa"/>
            <w:right w:w="0" w:type="dxa"/>
          </w:tblCellMar>
        </w:tblPrEx>
        <w:trPr>
          <w:cantSplit/>
        </w:trP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14:paraId="2A6A2E72">
            <w:pPr>
              <w:pStyle w:val="3"/>
              <w:spacing w:before="0" w:after="0"/>
            </w:pPr>
            <w:r>
              <w:rPr>
                <w:b/>
                <w:bCs/>
                <w:color w:val="FFFFFF"/>
                <w:sz w:val="20"/>
              </w:rPr>
              <w:t>Material complementario</w:t>
            </w:r>
          </w:p>
          <w:p w14:paraId="035EA9E3">
            <w:pPr>
              <w:pStyle w:val="3"/>
              <w:spacing w:before="0" w:after="0"/>
            </w:pPr>
            <w:r>
              <w:rPr>
                <w:b/>
                <w:color w:val="FFFFFF"/>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 </w:t>
            </w:r>
            <w:r>
              <w:rPr>
                <w:rStyle w:val="36"/>
                <w:b/>
                <w:bCs/>
                <w:color w:val="FFFFFF"/>
                <w:sz w:val="20"/>
              </w:rPr>
              <w:t>informe_anexos.pdf</w:t>
            </w:r>
            <w:r>
              <w:rPr>
                <w:b/>
                <w:color w:val="FFFFFF"/>
                <w:sz w:val="20"/>
              </w:rPr>
              <w:t xml:space="preserve">, disponible en el repositorio del proyecto en </w:t>
            </w:r>
            <w:r>
              <w:rPr>
                <w:b/>
                <w:color w:val="FFFFFF"/>
                <w:sz w:val="20"/>
              </w:rPr>
              <w:fldChar w:fldCharType="begin"/>
            </w:r>
            <w:r>
              <w:rPr>
                <w:b/>
                <w:color w:val="FFFFFF"/>
                <w:sz w:val="20"/>
              </w:rPr>
              <w:instrText xml:space="preserve"> HYPERLINK "https://github.com/linaq11/proyecto-cgsm-curso" \h </w:instrText>
            </w:r>
            <w:r>
              <w:rPr>
                <w:b/>
                <w:color w:val="FFFFFF"/>
                <w:sz w:val="20"/>
              </w:rPr>
              <w:fldChar w:fldCharType="separate"/>
            </w:r>
            <w:r>
              <w:rPr>
                <w:rStyle w:val="16"/>
                <w:b/>
                <w:color w:val="FFFFFF"/>
                <w:sz w:val="20"/>
              </w:rPr>
              <w:t>https://github.com/linaq11/proyecto-cgsm-curso</w:t>
            </w:r>
            <w:r>
              <w:rPr>
                <w:rStyle w:val="16"/>
                <w:b/>
                <w:color w:val="FFFFFF"/>
                <w:sz w:val="20"/>
              </w:rPr>
              <w:fldChar w:fldCharType="end"/>
            </w:r>
            <w:r>
              <w:rPr>
                <w:b/>
                <w:color w:val="FFFFFF"/>
                <w:sz w:val="20"/>
              </w:rPr>
              <w:t>.</w:t>
            </w:r>
          </w:p>
        </w:tc>
      </w:tr>
      <w:bookmarkEnd w:id="58"/>
    </w:tbl>
    <w:p w14:paraId="10B0D0D7"/>
    <w:sectPr>
      <w:cols w:space="720" w:num="1"/>
      <w:pgMar w:top="1020" w:bottom="1020" w:left="1134" w:right="1134" w:header="453" w:footer="453"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splitPgBreakAndParaMark/>
    <w:compatSetting w:name="compatibilityMode" w:uri="http://schemas.microsoft.com/office/word" w:val="12"/>
  </w:compat>
  <w:rsids>
    <w:rsidRoot w:val="00000000"/>
    <w:rsid w:val="4749075A"/>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40" w:line="252" w:lineRule="auto" w:before="0"/>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qFormat/>
    <w:uiPriority w:val="0"/>
  </w:style>
  <w:style w:type="table" w:default="1" w:styleId="13">
    <w:name w:val="Normal Table"/>
    <w:qFormat/>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qFormat/>
    <w:uiPriority w:val="0"/>
    <w:rPr>
      <w:color w:val="4F81BD" w:themeColor="accent1"/>
    </w:rPr>
  </w:style>
  <w:style w:type="paragraph" w:styleId="17">
    <w:name w:val="footnote text"/>
    <w:basedOn w:val="1"/>
    <w:unhideWhenUsed/>
    <w:qFormat/>
    <w:uiPriority w:val="9"/>
  </w:style>
  <w:style w:type="paragraph" w:styleId="18">
    <w:name w:val="caption"/>
    <w:basedOn w:val="1"/>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qFormat/>
    <w:uiPriority w:val="0"/>
  </w:style>
  <w:style w:type="paragraph" w:customStyle="1" w:styleId="35">
    <w:name w:val="Captioned Figure"/>
    <w:basedOn w:val="34"/>
    <w:qFormat/>
    <w:uiPriority w:val="0"/>
    <w:pPr>
      <w:keepNext/>
    </w:pPr>
  </w:style>
  <w:style w:type="character" w:customStyle="1" w:styleId="36">
    <w:name w:val="Verbatim Char"/>
    <w:basedOn w:val="15"/>
    <w:link w:val="37"/>
    <w:qFormat/>
    <w:uiPriority w:val="0"/>
    <w:rPr>
      <w:rFonts w:ascii="Consolas" w:hAnsi="Consolas"/>
      <w:sz w:val="22"/>
    </w:rPr>
  </w:style>
  <w:style w:type="paragraph" w:customStyle="1" w:styleId="37">
    <w:name w:val="Source Code"/>
    <w:basedOn w:val="1"/>
    <w:link w:val="36"/>
    <w:qFormat/>
    <w:uiPriority w:val="0"/>
    <w:pPr>
      <w:shd w:val="clear" w:fill="F1F3F5"/>
      <w:wordWrap w:val="0"/>
    </w:pPr>
  </w:style>
  <w:style w:type="character" w:customStyle="1" w:styleId="38">
    <w:name w:val="Section Number"/>
    <w:basedOn w:val="15"/>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uiPriority w:val="0"/>
    <w:rPr>
      <w:color w:val="003B4F"/>
      <w:shd w:val="clear" w:fill="F1F3F5"/>
    </w:rPr>
  </w:style>
  <w:style w:type="character" w:customStyle="1" w:styleId="41">
    <w:name w:val="DataTypeTok"/>
    <w:basedOn w:val="36"/>
    <w:qFormat/>
    <w:uiPriority w:val="0"/>
    <w:rPr>
      <w:color w:val="AD0000"/>
      <w:shd w:val="clear" w:fill="F1F3F5"/>
    </w:rPr>
  </w:style>
  <w:style w:type="character" w:customStyle="1" w:styleId="42">
    <w:name w:val="DecValTok"/>
    <w:basedOn w:val="36"/>
    <w:qFormat/>
    <w:uiPriority w:val="0"/>
    <w:rPr>
      <w:color w:val="AD0000"/>
      <w:shd w:val="clear" w:fill="F1F3F5"/>
    </w:rPr>
  </w:style>
  <w:style w:type="character" w:customStyle="1" w:styleId="43">
    <w:name w:val="BaseNTok"/>
    <w:basedOn w:val="36"/>
    <w:qFormat/>
    <w:uiPriority w:val="0"/>
    <w:rPr>
      <w:color w:val="AD0000"/>
      <w:shd w:val="clear" w:fill="F1F3F5"/>
    </w:rPr>
  </w:style>
  <w:style w:type="character" w:customStyle="1" w:styleId="44">
    <w:name w:val="FloatTok"/>
    <w:basedOn w:val="36"/>
    <w:qFormat/>
    <w:uiPriority w:val="0"/>
    <w:rPr>
      <w:color w:val="AD0000"/>
      <w:shd w:val="clear" w:fill="F1F3F5"/>
    </w:rPr>
  </w:style>
  <w:style w:type="character" w:customStyle="1" w:styleId="45">
    <w:name w:val="ConstantTok"/>
    <w:basedOn w:val="36"/>
    <w:uiPriority w:val="0"/>
    <w:rPr>
      <w:color w:val="8F5902"/>
      <w:shd w:val="clear" w:fill="F1F3F5"/>
    </w:rPr>
  </w:style>
  <w:style w:type="character" w:customStyle="1" w:styleId="46">
    <w:name w:val="CharTok"/>
    <w:basedOn w:val="36"/>
    <w:qFormat/>
    <w:uiPriority w:val="0"/>
    <w:rPr>
      <w:color w:val="20794D"/>
      <w:shd w:val="clear" w:fill="F1F3F5"/>
    </w:rPr>
  </w:style>
  <w:style w:type="character" w:customStyle="1" w:styleId="47">
    <w:name w:val="SpecialCharTok"/>
    <w:basedOn w:val="36"/>
    <w:qFormat/>
    <w:uiPriority w:val="0"/>
    <w:rPr>
      <w:color w:val="5E5E5E"/>
      <w:shd w:val="clear" w:fill="F1F3F5"/>
    </w:rPr>
  </w:style>
  <w:style w:type="character" w:customStyle="1" w:styleId="48">
    <w:name w:val="StringTok"/>
    <w:basedOn w:val="36"/>
    <w:qFormat/>
    <w:uiPriority w:val="0"/>
    <w:rPr>
      <w:color w:val="20794D"/>
      <w:shd w:val="clear" w:fill="F1F3F5"/>
    </w:rPr>
  </w:style>
  <w:style w:type="character" w:customStyle="1" w:styleId="49">
    <w:name w:val="VerbatimStringTok"/>
    <w:basedOn w:val="36"/>
    <w:qFormat/>
    <w:uiPriority w:val="0"/>
    <w:rPr>
      <w:color w:val="20794D"/>
      <w:shd w:val="clear" w:fill="F1F3F5"/>
    </w:rPr>
  </w:style>
  <w:style w:type="character" w:customStyle="1" w:styleId="50">
    <w:name w:val="SpecialStringTok"/>
    <w:basedOn w:val="36"/>
    <w:qFormat/>
    <w:uiPriority w:val="0"/>
    <w:rPr>
      <w:color w:val="20794D"/>
      <w:shd w:val="clear" w:fill="F1F3F5"/>
    </w:rPr>
  </w:style>
  <w:style w:type="character" w:customStyle="1" w:styleId="51">
    <w:name w:val="ImportTok"/>
    <w:basedOn w:val="36"/>
    <w:qFormat/>
    <w:uiPriority w:val="0"/>
    <w:rPr>
      <w:color w:val="00769E"/>
      <w:shd w:val="clear" w:fill="F1F3F5"/>
    </w:rPr>
  </w:style>
  <w:style w:type="character" w:customStyle="1" w:styleId="52">
    <w:name w:val="CommentTok"/>
    <w:basedOn w:val="36"/>
    <w:uiPriority w:val="0"/>
    <w:rPr>
      <w:color w:val="5E5E5E"/>
      <w:shd w:val="clear" w:fill="F1F3F5"/>
    </w:rPr>
  </w:style>
  <w:style w:type="character" w:customStyle="1" w:styleId="53">
    <w:name w:val="DocumentationTok"/>
    <w:basedOn w:val="36"/>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qFormat/>
    <w:uiPriority w:val="0"/>
    <w:rPr>
      <w:color w:val="4758AB"/>
      <w:shd w:val="clear" w:fill="F1F3F5"/>
    </w:rPr>
  </w:style>
  <w:style w:type="character" w:customStyle="1" w:styleId="58">
    <w:name w:val="VariableTok"/>
    <w:basedOn w:val="36"/>
    <w:qFormat/>
    <w:uiPriority w:val="0"/>
    <w:rPr>
      <w:color w:val="111111"/>
      <w:shd w:val="clear" w:fill="F1F3F5"/>
    </w:rPr>
  </w:style>
  <w:style w:type="character" w:customStyle="1" w:styleId="59">
    <w:name w:val="ControlFlowTok"/>
    <w:basedOn w:val="36"/>
    <w:uiPriority w:val="0"/>
    <w:rPr>
      <w:color w:val="003B4F"/>
      <w:shd w:val="clear" w:fill="F1F3F5"/>
    </w:rPr>
  </w:style>
  <w:style w:type="character" w:customStyle="1" w:styleId="60">
    <w:name w:val="OperatorTok"/>
    <w:basedOn w:val="36"/>
    <w:qFormat/>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qFormat/>
    <w:uiPriority w:val="0"/>
    <w:rPr>
      <w:color w:val="003B4F"/>
      <w:shd w:val="clear" w:fill="F1F3F5"/>
    </w:rPr>
  </w:style>
  <w:style w:type="character" w:customStyle="1" w:styleId="63">
    <w:name w:val="PreprocessorTok"/>
    <w:basedOn w:val="36"/>
    <w:qFormat/>
    <w:uiPriority w:val="0"/>
    <w:rPr>
      <w:color w:val="AD0000"/>
      <w:shd w:val="clear" w:fill="F1F3F5"/>
    </w:rPr>
  </w:style>
  <w:style w:type="character" w:customStyle="1" w:styleId="64">
    <w:name w:val="AttributeTok"/>
    <w:basedOn w:val="36"/>
    <w:qFormat/>
    <w:uiPriority w:val="0"/>
    <w:rPr>
      <w:color w:val="657422"/>
      <w:shd w:val="clear" w:fill="F1F3F5"/>
    </w:rPr>
  </w:style>
  <w:style w:type="character" w:customStyle="1" w:styleId="65">
    <w:name w:val="RegionMarkerTok"/>
    <w:basedOn w:val="36"/>
    <w:qFormat/>
    <w:uiPriority w:val="0"/>
    <w:rPr>
      <w:color w:val="003B4F"/>
      <w:shd w:val="clear" w:fill="F1F3F5"/>
    </w:rPr>
  </w:style>
  <w:style w:type="character" w:customStyle="1" w:styleId="66">
    <w:name w:val="InformationTok"/>
    <w:basedOn w:val="36"/>
    <w:qFormat/>
    <w:uiPriority w:val="0"/>
    <w:rPr>
      <w:color w:val="5E5E5E"/>
      <w:shd w:val="clear" w:fill="F1F3F5"/>
    </w:rPr>
  </w:style>
  <w:style w:type="character" w:customStyle="1" w:styleId="67">
    <w:name w:val="WarningTok"/>
    <w:basedOn w:val="36"/>
    <w:qFormat/>
    <w:uiPriority w:val="0"/>
    <w:rPr>
      <w:i/>
      <w:color w:val="5E5E5E"/>
      <w:shd w:val="clear" w:fill="F1F3F5"/>
    </w:rPr>
  </w:style>
  <w:style w:type="character" w:customStyle="1" w:styleId="68">
    <w:name w:val="AlertTok"/>
    <w:basedOn w:val="36"/>
    <w:qFormat/>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qFormat/>
    <w:uiPriority w:val="0"/>
    <w:rPr>
      <w:color w:val="003B4F"/>
      <w:shd w:val="clear" w:fill="F1F3F5"/>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33</Pages>
  <Words>3033</Words>
  <Characters>17099</Characters>
  <Lines>12</Lines>
  <Paragraphs>8</Paragraphs>
  <TotalTime>2</TotalTime>
  <ScaleCrop>false</ScaleCrop>
  <LinksUpToDate>false</LinksUpToDate>
  <CharactersWithSpaces>20057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2026-05-26T01:44:00Z</dcterms:created>
  <dc:creator>Lina María Quintero Fonseca</dc:creator>
  <cp:lastModifiedBy>linaq</cp:lastModifiedBy>
  <dcterms:modified xsi:type="dcterms:W3CDTF">2026-05-26T01:49:08Z</dcterms:modified>
  <dc:title>Pipeline multilenguaje (Python, R, Julia) para el monitoreo de manglar en la CGSM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y fmtid="{D5CDD505-2E9C-101B-9397-08002B2CF9AE}" pid="12" name="KSOTemplateDocerSaveRecord">
    <vt:lpwstr>eyJoZGlkIjoiNzA3OGY5YmVjMmI4MDIxZWQyZWU1ZjMyZjg4MzYyMWUiLCJ1c2VySWQiOiIyMjE2NTM0MDIyMzg5In0=</vt:lpwstr>
  </property>
  <property fmtid="{D5CDD505-2E9C-101B-9397-08002B2CF9AE}" pid="13" name="KSOProductBuildVer">
    <vt:lpwstr>2058-12.1.0.26372</vt:lpwstr>
  </property>
  <property fmtid="{D5CDD505-2E9C-101B-9397-08002B2CF9AE}" pid="14" name="ICV">
    <vt:lpwstr>B7E4EA6327DB4C60873A1FD3CB326D4F_12</vt:lpwstr>
  </property>
</Properties>
</file>