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Magdalena resaltado; (b) departamento del Magdalena con las ciudades de referencia y el AOI acotado en rojo; (c) composite Sentinel-2 RGB del periodo 2024-2025 sobre el AOI acotado (SFF CGSM + VPI, 835 km²), con las cinco estaciones INVEMAR-GBIF (triángulos rojos) y la cobertura de manglar segmentada por SamGeo (verde traslúcido).</w:t>
      </w:r>
    </w:p>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sobre el AOI acotado. Azul indica ganancia de vigor (regeneración); rojo indica pérdida. Coordenadas en metros (EPSG:9377, MAGNA-SIRGAS).</w:t>
      </w:r>
    </w:p>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mediano del manglar sobre el AOI acotado (835 km²) entre 2018 y 2025,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la caída 2019–2020 coincide con la sequía y La Niña.</w:t>
      </w:r>
    </w:p>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p>
      <w:pPr>
        <w:pStyle w:val="BodyText"/>
      </w:pPr>
      <w:r>
        <w:rPr>
          <w:color w:val="000000"/>
        </w:rPr>
        <w:t xml:space="preserve">El detalle por rezago y naturaleza espectral se reporta en el Anexo F.11 del documento complementario.</w:t>
      </w:r>
    </w:p>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p>
      <w:pPr>
        <w:pStyle w:val="BodyText"/>
      </w:pPr>
      <w:r>
        <w:rPr>
          <w:color w:val="000000"/>
        </w:rPr>
        <w:t xml:space="preserve"> </w:t>
      </w:r>
    </w:p>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p>
      <w:pPr>
        <w:pStyle w:val="BodyText"/>
      </w:pPr>
      <w:r>
        <w:rPr>
          <w:color w:val="000000"/>
        </w:rPr>
        <w:t xml:space="preserve"> </w:t>
      </w:r>
    </w:p>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del manglar de la CGSM, 2018–2025. Puntos coloreados por anomalía z-score (rojo = backscatter alto; azul = bajo, indicativo de inundación o suelo desnudo); franja gris = rango ± 1 σ.</w:t>
      </w:r>
    </w:p>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del manglar de la CGSM por estación, según el módulo de alertas tempranas. Verde = estable, amarillo = alerta, rojo = crítica, según la severidad y persistencia de anomalías NDVI z-score en los últimos doce meses.</w:t>
      </w:r>
    </w:p>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W w:w="5000" w:type="pct"/>
        <w:tblLayout w:type="autofit"/>
        <w:tblBorders>
          <w:top w:val="single" w:sz="4" w:color="BFBFBF"/>
          <w:left w:val="single" w:sz="4" w:color="BFBFBF"/>
          <w:bottom w:val="single" w:sz="4" w:color="BFBFBF"/>
          <w:right w:val="single" w:sz="4" w:color="BFBFBF"/>
          <w:insideH w:val="single" w:sz="4" w:color="BFBFBF"/>
          <w:insideV w:val="single" w:sz="4" w:color="BFBFBF"/>
        </w:tblBorders>
      </w:tblPr>
      <w:tr>
        <w:trPr>
          <w:cantSplit/>
        </w:trPr>
        <w:tc>
          <w:tcPr>
            <w:tcMar>
              <w:left w:w="144"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2026-05-26T01:58:20Z</dcterms:created>
  <dcterms:modified xsi:type="dcterms:W3CDTF">2026-05-26T01:58:20Z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