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85.png" ContentType="image/png"/>
  <Override PartName="/word/media/rId89.png" ContentType="image/png"/>
  <Override PartName="/word/media/rId94.png" ContentType="image/png"/>
  <Override PartName="/word/media/rId98.png" ContentType="image/png"/>
  <Override PartName="/word/media/rId75.png" ContentType="image/png"/>
  <Override PartName="/word/media/rId80.png" ContentType="image/png"/>
  <Override PartName="/word/media/rId49.png" ContentType="image/png"/>
  <Override PartName="/word/media/rId28.png" ContentType="image/png"/>
  <Override PartName="/word/media/rId38.png" ContentType="image/png"/>
  <Override PartName="/word/media/rId59.png" ContentType="image/png"/>
  <Override PartName="/word/media/rId117.png" ContentType="image/png"/>
  <Override PartName="/word/media/rId122.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Pipeline multilenguaje (Python, R, Julia) para el monitoreo de manglar en la CGSM (2013–2025)</w:t>
      </w:r>
    </w:p>
    <w:p>
      <w:pPr>
        <w:pStyle w:val="Author"/>
      </w:pPr>
      <w:r>
        <w:t xml:space="preserve">Lina María Quintero Fonseca</w:t>
      </w:r>
    </w:p>
    <w:p>
      <w:pPr>
        <w:pStyle w:val="Date"/>
      </w:pPr>
      <w:r>
        <w:t xml:space="preserve">2026-05-25</w:t>
      </w:r>
    </w:p>
    <w:p>
      <w:pPr>
        <w:pStyle w:val="FirstParagraph"/>
      </w:pPr>
      <w:r>
        <w:t xml:space="preserve">Universidad Nacional de Colombia</w:t>
      </w:r>
      <w:r>
        <w:br/>
      </w:r>
      <w:r>
        <w:t xml:space="preserve">Facultad de Ciencias Agrarias — Maestría en Geomática</w:t>
      </w:r>
      <w:r>
        <w:br/>
      </w:r>
      <w:r>
        <w:t xml:space="preserve">Programación en SIG — Proyecto Final</w:t>
      </w:r>
      <w:r>
        <w:br/>
      </w:r>
      <w:r>
        <w:t xml:space="preserve">Repositorio:</w:t>
      </w:r>
      <w:r>
        <w:t xml:space="preserve"> </w:t>
      </w:r>
      <w:hyperlink r:id="rId20">
        <w:r>
          <w:rPr>
            <w:rStyle w:val="Hyperlink"/>
          </w:rPr>
          <w:t xml:space="preserve">https://github.com/linaq11/proyecto-cgsm-curso</w:t>
        </w:r>
      </w:hyperlink>
    </w:p>
    <w:p>
      <w:r>
        <w:pict>
          <v:rect style="width:0;height:1.5pt" o:hralign="center" o:hrstd="t" o:hr="t"/>
        </w:pict>
      </w:r>
    </w:p>
    <w:bookmarkStart w:id="21" w:name="resumen"/>
    <w:p>
      <w:pPr>
        <w:pStyle w:val="Heading1"/>
      </w:pPr>
      <w:r>
        <w:t xml:space="preserve">1. Resumen</w:t>
      </w:r>
    </w:p>
    <w:p>
      <w:pPr>
        <w:pStyle w:val="FirstParagraph"/>
      </w:pPr>
      <w:r>
        <w:t xml:space="preserve">La Ciénaga Grande de Santa Marta —CGSM, sitio Ramsar Nº 562 y Reserva de la Biosfera UNESCO— sostiene el complejo lagunar costero más extenso de Colombia, cuya cobertura de manglar ha experimentado ciclos recurrentes de degradación y recuperación bajo el forzamiento conjunto de la hipersalinización crónica, los eventos ENSO y la regulación hídrica derivada de la apertura de canales entre 1996 y 1998. El presente estudio caracteriza la dinámica espaciotemporal del manglar de la CGSM entre 2013 y 2025 sobre el área protegida oficial —Santuario de Fauna y Flora CGSM y Vía Parque Isla de Salamanca, 835,3 km²— mediante un pipeline multilenguaje (Python, R y Julia) que integra 929 observaciones mensuales de NDVI combinadas a partir de Landsat 8 y Sentinel-2, segmentación promptable con SamGeo, métricas de fragmentación en EPSG:9377, detección de inundación con Sentinel-1 SAR-VH, y cuatro forzantes climático-hidrológicos (ERA5-Land, ENSO ONI/SOI de NOAA, caudal IDEAM-DHIME del Magdalena y el Aracataca, y precipitación CHIRPS). Los resultados identifican quiebres bfast generalizados en 2016 —asociados a El Niño 2015–2016— y un evento de mortandad puntual en septiembre 2020 bajo La Niña con 43,08 km² de inundación bajo dosel detectada por SAR; la cobertura se contrae de 12.426 a 4.037 ha con consolidación estructural (área media de parche 157 → 269 ha) y recuperación del NDVI mediano del dosel de 0,60 a 0,80 desde 2022. La validación doble contra cartografía oficial INVEMAR 1:25.000 y ESA WorldCover v200 arroja F1 = 0,583 y 0,548 para el clasificador por umbrales, y F1 = 0,826 y 0,889 para el clasificador supervisado Random Forest. El pipeline materializa el Nivel 2 del paradigma Digital Twin mediante un módulo operativo de alertas tempranas que reporta cinco estaciones estables, tres en alerta y ninguna crítica al cierre de 2025.</w:t>
      </w:r>
    </w:p>
    <w:p>
      <w:pPr>
        <w:pStyle w:val="BodyText"/>
      </w:pPr>
      <w:r>
        <w:rPr>
          <w:b/>
          <w:bCs/>
        </w:rPr>
        <w:t xml:space="preserve">Palabras clave:</w:t>
      </w:r>
      <w:r>
        <w:t xml:space="preserve"> </w:t>
      </w:r>
      <w: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t xml:space="preserve">2. Introducción y Justificación</w:t>
      </w:r>
    </w:p>
    <w:p>
      <w:pPr>
        <w:pStyle w:val="FirstParagraph"/>
      </w:pPr>
      <w: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ciclica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promovio una recuperación parcial, la dinámica del ecosistema continúa siendo inestable y los ciclos de degradación y recuperación no están completamente caracterizados a alta resolución espaciotemporal (INVEMAR, 2024).</w:t>
      </w:r>
    </w:p>
    <w:p>
      <w:pPr>
        <w:pStyle w:val="BodyText"/>
      </w:pPr>
      <w: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públicados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de fundación como el Segment Anything Model —SAM— de Meta AI, adaptado para datos geoespaciales a través de SamGeo (Wu y Osco, 2023), que permite realizar segmentación promptable de imágenes satelitales sin necesidad de grandes conjuntos de datos etiquetados.</w:t>
      </w:r>
    </w:p>
    <w:p>
      <w:pPr>
        <w:pStyle w:val="BodyText"/>
      </w:pPr>
      <w: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gestion de riesgos de inundación y la formulacion de política pública ambiental; en febrero de 2026 se firmo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t xml:space="preserve">A partir de lo anterior, el presente estudio se articula en torno a la siguiente pregunta de investigación:</w:t>
      </w:r>
      <w:r>
        <w:t xml:space="preserve"> </w:t>
      </w:r>
      <w:r>
        <w:rPr>
          <w:b/>
          <w:bCs/>
        </w:rPr>
        <w:t xml:space="preserve">¿cómo ha variado la cobertura, la fragmentación y el vigor del manglar de la Ciénaga Grande de Santa Marta entre 2013 y 2025, y qué evidencia cuantitativa permite atribuir las perturbaciones detectadas a forzantes climáticos asociados al evento La Niña 2020–2021?</w:t>
      </w:r>
    </w:p>
    <w:bookmarkEnd w:id="22"/>
    <w:bookmarkStart w:id="23" w:name="estado-del-arte"/>
    <w:p>
      <w:pPr>
        <w:pStyle w:val="Heading1"/>
      </w:pPr>
      <w:r>
        <w:t xml:space="preserve">3. Estado del Arte</w:t>
      </w:r>
    </w:p>
    <w:p>
      <w:pPr>
        <w:pStyle w:val="FirstParagraph"/>
      </w:pPr>
      <w: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que alcanza precisión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t xml:space="preserve">La aparición de modelos de fundación como el Segment Anything Model de Meta AI (Kirillov et al., 2023), adaptado a datos geoespaciales a través de SamGeo (Wu y Osco, 2023), permite realizar segmentación promptable sin grandes conjuntos de datos etiquetados, mediante prompts geométricos o text prompts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t xml:space="preserve">4. Objetivos</w:t>
      </w:r>
    </w:p>
    <w:bookmarkStart w:id="24" w:name="objetivo-general"/>
    <w:p>
      <w:pPr>
        <w:pStyle w:val="Heading2"/>
      </w:pPr>
      <w:r>
        <w:t xml:space="preserve">4.1 Objetivo general</w:t>
      </w:r>
    </w:p>
    <w:p>
      <w:pPr>
        <w:pStyle w:val="FirstParagraph"/>
      </w:pPr>
      <w: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t xml:space="preserve">4.2 Objetivos específicos</w:t>
      </w:r>
    </w:p>
    <w:p>
      <w:pPr>
        <w:pStyle w:val="Compact"/>
        <w:numPr>
          <w:ilvl w:val="0"/>
          <w:numId w:val="1001"/>
        </w:numPr>
      </w:pPr>
      <w:r>
        <w:t xml:space="preserve">Construir un datacube multitemporal de índices espectrales (NDVI, NDWI, CMRI) para la CGSM en el periodo 2013–2025.</w:t>
      </w:r>
    </w:p>
    <w:p>
      <w:pPr>
        <w:pStyle w:val="Compact"/>
        <w:numPr>
          <w:ilvl w:val="0"/>
          <w:numId w:val="1001"/>
        </w:numPr>
      </w:pPr>
      <w:r>
        <w:t xml:space="preserve">Identificar los periodos de degradación y recuperación del manglar entre 2013 y 2025 mediante análisis de anomalías z-score y quiebres bfast.</w:t>
      </w:r>
    </w:p>
    <w:p>
      <w:pPr>
        <w:pStyle w:val="Compact"/>
        <w:numPr>
          <w:ilvl w:val="0"/>
          <w:numId w:val="1001"/>
        </w:numPr>
      </w:pPr>
      <w:r>
        <w:t xml:space="preserve">Validar la segmentación automática de cobertura de manglar contra cartografía de referencia (INVEMAR 1:25.000 y ESA WorldCover v200).</w:t>
      </w:r>
    </w:p>
    <w:bookmarkEnd w:id="25"/>
    <w:bookmarkEnd w:id="26"/>
    <w:bookmarkStart w:id="27" w:name="alcance-y-limitaciones"/>
    <w:p>
      <w:pPr>
        <w:pStyle w:val="Heading1"/>
      </w:pPr>
      <w:r>
        <w:t xml:space="preserve">5. Alcance y limitaciones</w:t>
      </w:r>
    </w:p>
    <w:p>
      <w:pPr>
        <w:pStyle w:val="FirstParagraph"/>
      </w:pPr>
      <w:r>
        <w:t xml:space="preserve">El estudio abarca el diseño, la implementación, la validación y la documentación de un pipeline de procesamiento geoespacial multilenguaje para el monitoreo del manglar de la CGSM sobre tres dimensiones explícitas. En lo</w:t>
      </w:r>
      <w:r>
        <w:t xml:space="preserve"> </w:t>
      </w:r>
      <w:r>
        <w:rPr>
          <w:b/>
          <w:bCs/>
        </w:rPr>
        <w:t xml:space="preserve">espacial</w:t>
      </w:r>
      <w:r>
        <w:t xml:space="preserve">, el análisis se circunscribe al sitio Ramsar oficial —unión de los polígonos del Santuario de Fauna y Flora CGSM y la Vía Parque Isla de Salamanca extraídos del Registro Único Nacional de Áreas Protegidas (RUNAP), con una extensión total de 835,3 km²—. En lo</w:t>
      </w:r>
      <w:r>
        <w:t xml:space="preserve"> </w:t>
      </w:r>
      <w:r>
        <w:rPr>
          <w:b/>
          <w:bCs/>
        </w:rPr>
        <w:t xml:space="preserve">temporal</w:t>
      </w:r>
      <w:r>
        <w:t xml:space="preserve">, el horizonte cubre 2013–2025, con énfasis en la serie continua Sentinel-2 desde 2018 y la integración retrospectiva de Landsat 8 entre 2013 y 2017 para extender la cobertura óptica a doce años. En lo</w:t>
      </w:r>
      <w:r>
        <w:t xml:space="preserve"> </w:t>
      </w:r>
      <w:r>
        <w:rPr>
          <w:b/>
          <w:bCs/>
        </w:rPr>
        <w:t xml:space="preserve">temático</w:t>
      </w:r>
      <w:r>
        <w:t xml:space="preserve">, el pipeline aborda cuatro componentes interrelacionados: clasificación de cobertura de manglar, detección de cambios espaciotemporales, correlación con variables climático-hidrológicas y generación de alertas tempranas operacionales.</w:t>
      </w:r>
    </w:p>
    <w:p>
      <w:pPr>
        <w:pStyle w:val="BodyText"/>
      </w:pPr>
      <w:r>
        <w:t xml:space="preserve">Cinco delimitaciones acotan explícitamente el ámbito del trabajo. No se ejecutan campañas de campo independientes, dado que la validación se apoya íntegramente en cartografías de referencia ya publicadas —INVEMAR 1:25.000 (2020) y ESA WorldCover v200 (2022)—, así que cualquier verificación in situ adicional —salinidad del suelo, mortalidad de árboles, regeneración natural— queda fuera del alcance. El análisis se restringe a la CGSM y no se extiende a otros sistemas lagunares del Caribe o el Pacífico colombiano, aun cuando el pipeline es transferible por diseño. El módulo de alertas tempranas se concibe como herramienta descriptiva —reporta el estado presente del ecosistema con base en anomalías y quiebres detectados— y no incorpora capacidades predictivas en sentido estricto, de modo que no se generan proyecciones futuras de cobertura ni se modelan escenarios climáticos prospectivos bajo diferentes regímenes de manejo.</w:t>
      </w:r>
    </w:p>
    <w:p>
      <w:pPr>
        <w:pStyle w:val="BodyText"/>
      </w:pPr>
      <w:r>
        <w:t xml:space="preserve">Las restricciones externas que condicionan los resultados son cuatro. La nubosidad persistente del Caribe colombiano reduce la disponibilidad efectiva de imágenes ópticas Sentinel-2 sobre el AOI, limitación parcialmente mitigada con Landsat 8/9 y Sentinel-1 SAR —independiente de cobertura nubosa— como sensor complementario. La resolución espacial de Sentinel-2 (10 m) limita la detección de cambios en parches sub-hectárea y no caracteriza la heterogeneidad del dosel a escala de individuo. La validación se sustenta en cartografías de un único periodo de referencia —INVEMAR 2020 y WorldCover 2022—, lo que introduce incertidumbre temporal al comparar contra los tres periodos del análisis. Finalmente, la red hidrométrica analizada se restringe a las estaciones IDEAM El Banco (río Magdalena) y Ganadería Caribe (río Aracataca), por lo cual no abarca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bookmarkEnd w:id="27"/>
    <w:bookmarkStart w:id="32" w:name="área-de-estudio"/>
    <w:p>
      <w:pPr>
        <w:pStyle w:val="Heading1"/>
      </w:pPr>
      <w:r>
        <w:t xml:space="preserve">6. Área de estudio</w:t>
      </w:r>
    </w:p>
    <w:tbl>
      <w:tblPr>
        <w:tblStyle w:val="Table"/>
        <w:tblW w:type="pct" w:w="5000"/>
        <w:tblLayout w:type="fixed"/>
        <w:tblLook w:firstRow="0" w:lastRow="0" w:firstColumn="0" w:lastColumn="0" w:noHBand="0" w:noVBand="0" w:val="0000"/>
      </w:tblPr>
      <w:tblGrid>
        <w:gridCol w:w="7920"/>
      </w:tblGrid>
      <w:tr>
        <w:tc>
          <w:tcPr/>
          <w:bookmarkStart w:id="31" w:name="fig-area-estudio"/>
          <w:p>
            <w:pPr>
              <w:pStyle w:val="Compact"/>
              <w:jc w:val="center"/>
            </w:pPr>
            <w:r>
              <w:drawing>
                <wp:inline>
                  <wp:extent cx="4800600" cy="3505701"/>
                  <wp:effectExtent b="0" l="0" r="0" t="0"/>
                  <wp:docPr descr="" title="" id="29" name="Picture"/>
                  <a:graphic>
                    <a:graphicData uri="http://schemas.openxmlformats.org/drawingml/2006/picture">
                      <pic:pic>
                        <pic:nvPicPr>
                          <pic:cNvPr descr="../outputs/figures/mapa_area_estudio.png" id="30" name="Picture"/>
                          <pic:cNvPicPr>
                            <a:picLocks noChangeArrowheads="1" noChangeAspect="1"/>
                          </pic:cNvPicPr>
                        </pic:nvPicPr>
                        <pic:blipFill>
                          <a:blip r:embed="rId28"/>
                          <a:stretch>
                            <a:fillRect/>
                          </a:stretch>
                        </pic:blipFill>
                        <pic:spPr bwMode="auto">
                          <a:xfrm>
                            <a:off x="0" y="0"/>
                            <a:ext cx="4800600" cy="35057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1"/>
        </w:tc>
      </w:tr>
    </w:tbl>
    <w:p>
      <w:pPr>
        <w:pStyle w:val="BodyText"/>
      </w:pPr>
      <w:r>
        <w:t xml:space="preserve">El área de estudio comprende la CGSM y su zona de influencia costera, ubicada en el departamento del Magdalena, Colombia, entre aproximadamente 10°20’ N–11°05’ N y 74°10’ W–74°55’ W. El proyecto opera con dos delimitaciones de área anidadas que cumplen funciones distintas. La primera, denominada</w:t>
      </w:r>
      <w:r>
        <w:t xml:space="preserve"> </w:t>
      </w:r>
      <w:r>
        <w:rPr>
          <w:b/>
          <w:bCs/>
        </w:rPr>
        <w:t xml:space="preserve">AOI envolvente</w:t>
      </w:r>
      <w:r>
        <w:t xml:space="preserve"> </w:t>
      </w:r>
      <w:r>
        <w:t xml:space="preserve">y delimitada con 34 vértices sobre 5.073 km², se utilizó únicamente en la iteración preliminar del proyecto (marzo de 2026) y se utilizó como baseline preliminar para la iteración inicial del proyecto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t xml:space="preserve"> </w:t>
      </w:r>
      <w:r>
        <w:rPr>
          <w:b/>
          <w:bCs/>
        </w:rPr>
        <w:t xml:space="preserve">AOI acotado</w:t>
      </w:r>
      <w:r>
        <w:t xml:space="preserve"> </w:t>
      </w:r>
      <w: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t xml:space="preserve">Para el análisis de series de tiempo se definieron 8 estaciones de muestreo, de las cuales 5 corresponden a estaciones con coordenadas exactas obtenidas del dataset de monitoreo de estructura de manglares del INVEMAR públicado en GBIF (Beltrán et al., 2022; DOI: 10.15472/0fqdp4) —Isla Boqueron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rehabilitacion hidrológica del Caño Clarín.</w:t>
      </w:r>
    </w:p>
    <w:bookmarkEnd w:id="32"/>
    <w:bookmarkStart w:id="34" w:name="fuentes-de-datos"/>
    <w:p>
      <w:pPr>
        <w:pStyle w:val="Heading1"/>
      </w:pPr>
      <w:r>
        <w:t xml:space="preserve">7. Fuentes de Datos</w:t>
      </w:r>
    </w:p>
    <w:p>
      <w:pPr>
        <w:pStyle w:val="FirstParagraph"/>
      </w:pPr>
      <w:r>
        <w:t xml:space="preserve">Los datos utilizados en este proyecto provienen tanto de plataformas de geocomputación en la nube como de repositoríos institucionales abiertos. Siguiendo la declaración cuádruple de resolución recomendada por Gomarasca (2010) para datos de teledetección, las dos colecciones ópticas centrales del proyecto se caracterizan por:</w:t>
      </w:r>
      <w:r>
        <w:t xml:space="preserve"> </w:t>
      </w:r>
      <w:r>
        <w:rPr>
          <w:b/>
          <w:bCs/>
        </w:rPr>
        <w:t xml:space="preserve">Sentinel-2 MSI L2A</w:t>
      </w:r>
      <w:r>
        <w:t xml:space="preserve"> </w:t>
      </w:r>
      <w:r>
        <w:t xml:space="preserve">con resolución espacial de 10 m (B2 azul, B3 verde, B4 rojo, B8 NIR), 20 m (B5-B7, B8A, B11, B12 SWIR) y 60 m (B1, B9, B10), resolución espectral de 13 bandas entre 443 y 2190 nm, resolución temporal de 5 días (constelación S2A+S2B) y resolución radiométrica de 12 bits; y</w:t>
      </w:r>
      <w:r>
        <w:t xml:space="preserve"> </w:t>
      </w:r>
      <w:r>
        <w:rPr>
          <w:b/>
          <w:bCs/>
        </w:rPr>
        <w:t xml:space="preserve">Landsat 8/9 OLI</w:t>
      </w:r>
      <w:r>
        <w:t xml:space="preserve"> </w:t>
      </w:r>
      <w:r>
        <w:t xml:space="preserve">con resolución espacial de 30 m en bandas multispectrales (15 m en pancromática), resolución espectral de 11 bandas entre 433 y 12500 nm, resolución temporal de 16 días por satélite (8 días combinados L8+L9) y resolución radiométrica de 12 bits cuantizada a 16 bits para distribución.</w:t>
      </w:r>
    </w:p>
    <w:tbl>
      <w:tblPr>
        <w:tblStyle w:val="Table"/>
        <w:tblW w:type="pct" w:w="5000"/>
        <w:tblLayout w:type="fixed"/>
        <w:tblLook w:firstRow="0" w:lastRow="0" w:firstColumn="0" w:lastColumn="0" w:noHBand="0" w:noVBand="0" w:val="0000"/>
      </w:tblPr>
      <w:tblGrid>
        <w:gridCol w:w="7920"/>
      </w:tblGrid>
      <w:tr>
        <w:tc>
          <w:tcPr/>
          <w:bookmarkStart w:id="33" w:name="tbl-fuentes"/>
          <w:p>
            <w:pPr>
              <w:jc w:val="center"/>
            </w:pPr>
            <w:pPr>
              <w:jc w:val="left"/>
              <w:spacing w:before="200"/>
              <w:pStyle w:val="ImageCaption"/>
            </w:pPr>
            <w:r>
              <w:t xml:space="preserve">Tabla 1: Fuentes de datos utilizadas en el pipeline para el monitoreo de manglar.</w:t>
            </w:r>
          </w:p>
          <w:tbl>
            <w:tblPr>
              <w:tblStyle w:val="Table"/>
              <w:tblW w:type="pct" w:w="5000"/>
              <w:tblLayout w:type="fixed"/>
              <w:tblLook w:firstRow="1" w:lastRow="0" w:firstColumn="0" w:lastColumn="0" w:noHBand="0" w:noVBand="0" w:val="0020"/>
            </w:tblPr>
            <w:tblGrid>
              <w:gridCol w:w="2376"/>
              <w:gridCol w:w="1425"/>
              <w:gridCol w:w="2217"/>
              <w:gridCol w:w="1900"/>
            </w:tblGrid>
            <w:tr>
              <w:trPr>
                <w:tblHeader w:val="on"/>
              </w:trPr>
              <w:tc>
                <w:tcPr/>
                <w:p>
                  <w:pPr>
                    <w:pStyle w:val="Compact"/>
                    <w:jc w:val="center"/>
                  </w:pPr>
                  <w:r>
                    <w:t xml:space="preserve">Dataset / Fuente</w:t>
                  </w:r>
                </w:p>
              </w:tc>
              <w:tc>
                <w:tcPr/>
                <w:p>
                  <w:pPr>
                    <w:pStyle w:val="Compact"/>
                    <w:jc w:val="center"/>
                  </w:pPr>
                  <w:r>
                    <w:t xml:space="preserve">Tipo</w:t>
                  </w:r>
                </w:p>
              </w:tc>
              <w:tc>
                <w:tcPr/>
                <w:p>
                  <w:pPr>
                    <w:pStyle w:val="Compact"/>
                    <w:jc w:val="center"/>
                  </w:pPr>
                  <w:r>
                    <w:t xml:space="preserve">Uso en el proyecto</w:t>
                  </w:r>
                </w:p>
              </w:tc>
              <w:tc>
                <w:tcPr/>
                <w:p>
                  <w:pPr>
                    <w:pStyle w:val="Compact"/>
                    <w:jc w:val="center"/>
                  </w:pPr>
                  <w:r>
                    <w:t xml:space="preserve">Acceso</w:t>
                  </w:r>
                </w:p>
              </w:tc>
            </w:tr>
            <w:tr>
              <w:tc>
                <w:tcPr/>
                <w:p>
                  <w:pPr>
                    <w:pStyle w:val="Compact"/>
                    <w:jc w:val="center"/>
                  </w:pPr>
                  <w:r>
                    <w:t xml:space="preserve">Sentinel-2 MSI L2A (ESA)</w:t>
                  </w:r>
                </w:p>
              </w:tc>
              <w:tc>
                <w:tcPr/>
                <w:p>
                  <w:pPr>
                    <w:pStyle w:val="Compact"/>
                    <w:jc w:val="center"/>
                  </w:pPr>
                  <w:r>
                    <w:t xml:space="preserve">789 imagenes (2018–2025)</w:t>
                  </w:r>
                </w:p>
              </w:tc>
              <w:tc>
                <w:tcPr/>
                <w:p>
                  <w:pPr>
                    <w:pStyle w:val="Compact"/>
                    <w:jc w:val="center"/>
                  </w:pPr>
                  <w:r>
                    <w:t xml:space="preserve">Indices espectrales y RGB para SamGeo</w:t>
                  </w:r>
                </w:p>
              </w:tc>
              <w:tc>
                <w:tcPr/>
                <w:p>
                  <w:pPr>
                    <w:pStyle w:val="Compact"/>
                    <w:jc w:val="center"/>
                  </w:pPr>
                  <w:r>
                    <w:t xml:space="preserve">GEE: COPERNICUS/S2_SR_HARMONIZED</w:t>
                  </w:r>
                </w:p>
              </w:tc>
            </w:tr>
            <w:tr>
              <w:tc>
                <w:tcPr/>
                <w:p>
                  <w:pPr>
                    <w:pStyle w:val="Compact"/>
                    <w:jc w:val="center"/>
                  </w:pPr>
                  <w:r>
                    <w:t xml:space="preserve">Landsat 8 OLI (USGS)</w:t>
                  </w:r>
                </w:p>
              </w:tc>
              <w:tc>
                <w:tcPr/>
                <w:p>
                  <w:pPr>
                    <w:pStyle w:val="Compact"/>
                    <w:jc w:val="center"/>
                  </w:pPr>
                  <w:r>
                    <w:t xml:space="preserve">345 registros (2013–2017)</w:t>
                  </w:r>
                </w:p>
              </w:tc>
              <w:tc>
                <w:tcPr/>
                <w:p>
                  <w:pPr>
                    <w:pStyle w:val="Compact"/>
                    <w:jc w:val="center"/>
                  </w:pPr>
                  <w:r>
                    <w:t xml:space="preserve">Serie histórica NDVI complementaria</w:t>
                  </w:r>
                </w:p>
              </w:tc>
              <w:tc>
                <w:tcPr/>
                <w:p>
                  <w:pPr>
                    <w:pStyle w:val="Compact"/>
                    <w:jc w:val="center"/>
                  </w:pPr>
                  <w:r>
                    <w:t xml:space="preserve">GEE: LANDSAT/LC08/C02/T1_L2</w:t>
                  </w:r>
                </w:p>
              </w:tc>
            </w:tr>
            <w:tr>
              <w:tc>
                <w:tcPr/>
                <w:p>
                  <w:pPr>
                    <w:pStyle w:val="Compact"/>
                    <w:jc w:val="center"/>
                  </w:pPr>
                  <w:r>
                    <w:t xml:space="preserve">Sentinel-1 SAR (ESA)</w:t>
                  </w:r>
                </w:p>
              </w:tc>
              <w:tc>
                <w:tcPr/>
                <w:p>
                  <w:pPr>
                    <w:pStyle w:val="Compact"/>
                    <w:jc w:val="center"/>
                  </w:pPr>
                  <w:r>
                    <w:t xml:space="preserve">85 imagenes (2020)</w:t>
                  </w:r>
                </w:p>
              </w:tc>
              <w:tc>
                <w:tcPr/>
                <w:p>
                  <w:pPr>
                    <w:pStyle w:val="Compact"/>
                    <w:jc w:val="center"/>
                  </w:pPr>
                  <w:r>
                    <w:t xml:space="preserve">Detección de inundación bajo dosel</w:t>
                  </w:r>
                </w:p>
              </w:tc>
              <w:tc>
                <w:tcPr/>
                <w:p>
                  <w:pPr>
                    <w:pStyle w:val="Compact"/>
                    <w:jc w:val="center"/>
                  </w:pPr>
                  <w:r>
                    <w:t xml:space="preserve">GEE: COPERNICUS/S1_GRD</w:t>
                  </w:r>
                </w:p>
              </w:tc>
            </w:tr>
            <w:tr>
              <w:tc>
                <w:tcPr/>
                <w:p>
                  <w:pPr>
                    <w:pStyle w:val="Compact"/>
                    <w:jc w:val="center"/>
                  </w:pPr>
                  <w:r>
                    <w:t xml:space="preserve">Global Flood Database</w:t>
                  </w:r>
                </w:p>
              </w:tc>
              <w:tc>
                <w:tcPr/>
                <w:p>
                  <w:pPr>
                    <w:pStyle w:val="Compact"/>
                    <w:jc w:val="center"/>
                  </w:pPr>
                  <w:r>
                    <w:t xml:space="preserve">16 eventos (2001–2017)</w:t>
                  </w:r>
                </w:p>
              </w:tc>
              <w:tc>
                <w:tcPr/>
                <w:p>
                  <w:pPr>
                    <w:pStyle w:val="Compact"/>
                    <w:jc w:val="center"/>
                  </w:pPr>
                  <w:r>
                    <w:t xml:space="preserve">Registro histórico de inundaciónes</w:t>
                  </w:r>
                </w:p>
              </w:tc>
              <w:tc>
                <w:tcPr/>
                <w:p>
                  <w:pPr>
                    <w:pStyle w:val="Compact"/>
                    <w:jc w:val="center"/>
                  </w:pPr>
                  <w:r>
                    <w:t xml:space="preserve">GEE: GLOBAL_FLOOD_DB</w:t>
                  </w:r>
                </w:p>
              </w:tc>
            </w:tr>
            <w:tr>
              <w:tc>
                <w:tcPr/>
                <w:p>
                  <w:pPr>
                    <w:pStyle w:val="Compact"/>
                    <w:jc w:val="center"/>
                  </w:pPr>
                  <w:r>
                    <w:t xml:space="preserve">JRC Global Surface Water</w:t>
                  </w:r>
                </w:p>
              </w:tc>
              <w:tc>
                <w:tcPr/>
                <w:p>
                  <w:pPr>
                    <w:pStyle w:val="Compact"/>
                    <w:jc w:val="center"/>
                  </w:pPr>
                  <w:r>
                    <w:t xml:space="preserve">Raster global</w:t>
                  </w:r>
                </w:p>
              </w:tc>
              <w:tc>
                <w:tcPr/>
                <w:p>
                  <w:pPr>
                    <w:pStyle w:val="Compact"/>
                    <w:jc w:val="center"/>
                  </w:pPr>
                  <w:r>
                    <w:t xml:space="preserve">Transiciones y estacionalidad hídrica</w:t>
                  </w:r>
                </w:p>
              </w:tc>
              <w:tc>
                <w:tcPr/>
                <w:p>
                  <w:pPr>
                    <w:pStyle w:val="Compact"/>
                    <w:jc w:val="center"/>
                  </w:pPr>
                  <w:r>
                    <w:t xml:space="preserve">GEE: JRC/GSW1_4</w:t>
                  </w:r>
                </w:p>
              </w:tc>
            </w:tr>
            <w:tr>
              <w:tc>
                <w:tcPr/>
                <w:p>
                  <w:pPr>
                    <w:pStyle w:val="Compact"/>
                    <w:jc w:val="center"/>
                  </w:pPr>
                  <w:r>
                    <w:t xml:space="preserve">SRTM v3 (NASA)</w:t>
                  </w:r>
                </w:p>
              </w:tc>
              <w:tc>
                <w:tcPr/>
                <w:p>
                  <w:pPr>
                    <w:pStyle w:val="Compact"/>
                    <w:jc w:val="center"/>
                  </w:pPr>
                  <w:r>
                    <w:t xml:space="preserve">DEM 30 m</w:t>
                  </w:r>
                </w:p>
              </w:tc>
              <w:tc>
                <w:tcPr/>
                <w:p>
                  <w:pPr>
                    <w:pStyle w:val="Compact"/>
                    <w:jc w:val="center"/>
                  </w:pPr>
                  <w:r>
                    <w:t xml:space="preserve">Restriccion de elevación (&lt; 10 m)</w:t>
                  </w:r>
                </w:p>
              </w:tc>
              <w:tc>
                <w:tcPr/>
                <w:p>
                  <w:pPr>
                    <w:pStyle w:val="Compact"/>
                    <w:jc w:val="center"/>
                  </w:pPr>
                  <w:r>
                    <w:t xml:space="preserve">GEE: USGS/SRTMGL1_003</w:t>
                  </w:r>
                </w:p>
              </w:tc>
            </w:tr>
            <w:tr>
              <w:tc>
                <w:tcPr/>
                <w:p>
                  <w:pPr>
                    <w:pStyle w:val="Compact"/>
                    <w:jc w:val="center"/>
                  </w:pPr>
                  <w:r>
                    <w:t xml:space="preserve">Monitoreo manglar INVEMAR</w:t>
                  </w:r>
                </w:p>
              </w:tc>
              <w:tc>
                <w:tcPr/>
                <w:p>
                  <w:pPr>
                    <w:pStyle w:val="Compact"/>
                    <w:jc w:val="center"/>
                  </w:pPr>
                  <w:r>
                    <w:t xml:space="preserve">376 registros (2013–2019)</w:t>
                  </w:r>
                </w:p>
              </w:tc>
              <w:tc>
                <w:tcPr/>
                <w:p>
                  <w:pPr>
                    <w:pStyle w:val="Compact"/>
                    <w:jc w:val="center"/>
                  </w:pPr>
                  <w:r>
                    <w:t xml:space="preserve">Coordenadas estaciones de muestreo</w:t>
                  </w:r>
                </w:p>
              </w:tc>
              <w:tc>
                <w:tcPr/>
                <w:p>
                  <w:pPr>
                    <w:pStyle w:val="Compact"/>
                    <w:jc w:val="center"/>
                  </w:pPr>
                  <w:r>
                    <w:t xml:space="preserve">GBIF DOI: 10.15472/0fqdp4</w:t>
                  </w:r>
                </w:p>
              </w:tc>
            </w:tr>
            <w:tr>
              <w:tc>
                <w:tcPr/>
                <w:p>
                  <w:pPr>
                    <w:pStyle w:val="Compact"/>
                    <w:jc w:val="center"/>
                  </w:pPr>
                  <w:r>
                    <w:t xml:space="preserve">Global Mangrove Watch v4.0</w:t>
                  </w:r>
                </w:p>
              </w:tc>
              <w:tc>
                <w:tcPr/>
                <w:p>
                  <w:pPr>
                    <w:pStyle w:val="Compact"/>
                    <w:jc w:val="center"/>
                  </w:pPr>
                  <w:r>
                    <w:t xml:space="preserve">Raster (2020)</w:t>
                  </w:r>
                </w:p>
              </w:tc>
              <w:tc>
                <w:tcPr/>
                <w:p>
                  <w:pPr>
                    <w:pStyle w:val="Compact"/>
                    <w:jc w:val="center"/>
                  </w:pPr>
                  <w:r>
                    <w:t xml:space="preserve">Validación de clasificación</w:t>
                  </w:r>
                </w:p>
              </w:tc>
              <w:tc>
                <w:tcPr/>
                <w:p>
                  <w:pPr>
                    <w:pStyle w:val="Compact"/>
                    <w:jc w:val="center"/>
                  </w:pPr>
                  <w:r>
                    <w:t xml:space="preserve">GEE: sat-io/GMW</w:t>
                  </w:r>
                </w:p>
              </w:tc>
            </w:tr>
          </w:tbl>
          <w:bookmarkEnd w:id="33"/>
          <w:p/>
        </w:tc>
      </w:tr>
    </w:tbl>
    <w:p>
      <w:pPr>
        <w:pStyle w:val="BodyText"/>
      </w:pPr>
      <w:r>
        <w:t xml:space="preserve">El conjunto de datos satelitales del proyecto se apoya principalmente en las misiones Landsat 8 y Landsat 9 (NASA-USGS), el modelo digital de elevación SRTM v3 (NASA) y los índices climáticos ENSO ONI y SOI del Climate Prediction Center de la NOAA, complementados con la Global Flood Database del Dartmouth Flood Observatory —derivada de MODIS NASA y Sentinel-1 ESA— para el inventario histórico de inundaciones. La capa óptica de alta resolución espacial y temporal proviene de la constelación europea Sentinel-2 (ESA-Copernicus), y la observación radar de Sentinel-1 (ESA-Copernicus). La segmentación promptable del manglar se ejecuta con la biblioteca SamGeo (Wu y Osco, 2023), adaptación geoespacial del</w:t>
      </w:r>
      <w:r>
        <w:t xml:space="preserve"> </w:t>
      </w:r>
      <w:r>
        <w:rPr>
          <w:i/>
          <w:iCs/>
        </w:rPr>
        <w:t xml:space="preserve">Segment Anything Model</w:t>
      </w:r>
      <w:r>
        <w:t xml:space="preserve"> </w:t>
      </w:r>
      <w: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4"/>
    <w:bookmarkStart w:id="57" w:name="metodología-y-código"/>
    <w:p>
      <w:pPr>
        <w:pStyle w:val="Heading1"/>
      </w:pPr>
      <w:r>
        <w:t xml:space="preserve">8. Metodología y código</w:t>
      </w:r>
    </w:p>
    <w:p>
      <w:pPr>
        <w:pStyle w:val="FirstParagraph"/>
      </w:pPr>
      <w:r>
        <w:t xml:space="preserve">El proyecto se desarrolla siguiendo un pipeline modular y reproducible organizado en cuatro fases y un modulo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tárea, y la interoperabilidad entre fases se mantiene mediante formatos estandar —GeoTIFF, GeoJSON y CSV—.</w:t>
      </w:r>
    </w:p>
    <w:bookmarkStart w:id="36" w:name="X285332d77872a180b13da5d229caf392fa44ba5"/>
    <w:p>
      <w:pPr>
        <w:pStyle w:val="Heading2"/>
      </w:pPr>
      <w:r>
        <w:t xml:space="preserve">8.1 Distribución multilingüe de responsabilidades</w:t>
      </w:r>
    </w:p>
    <w:p>
      <w:pPr>
        <w:pStyle w:val="FirstParagraph"/>
      </w:pPr>
      <w:r>
        <w:t xml:space="preserve">La arquitectura distribuye las tareas entre los tres lenguajes del curso según la conveniencia disciplinar de cada fase y no como mera coexistencia obligatoria.</w:t>
      </w:r>
      <w:r>
        <w:t xml:space="preserve"> </w:t>
      </w:r>
      <w:r>
        <w:rPr>
          <w:b/>
          <w:bCs/>
        </w:rPr>
        <w:t xml:space="preserve">Python</w:t>
      </w:r>
      <w:r>
        <w:t xml:space="preserve"> </w:t>
      </w:r>
      <w:r>
        <w:t xml:space="preserve">sustenta la adquisición en Google Earth Engine, la segmentación con SamGeo, los datacubes con</w:t>
      </w:r>
      <w:r>
        <w:t xml:space="preserve"> </w:t>
      </w:r>
      <w:r>
        <w:rPr>
          <w:rStyle w:val="VerbatimChar"/>
        </w:rPr>
        <w:t xml:space="preserve">xarray</w:t>
      </w:r>
      <w:r>
        <w:t xml:space="preserve">, el clasificador Random Forest y el dashboard.</w:t>
      </w:r>
      <w:r>
        <w:t xml:space="preserve"> </w:t>
      </w:r>
      <w:r>
        <w:rPr>
          <w:b/>
          <w:bCs/>
        </w:rPr>
        <w:t xml:space="preserve">R</w:t>
      </w:r>
      <w:r>
        <w:t xml:space="preserve"> </w:t>
      </w:r>
      <w:r>
        <w:t xml:space="preserve">se reserva para los quiebres bfast sobre las series NDVI, el cubo</w:t>
      </w:r>
      <w:r>
        <w:t xml:space="preserve"> </w:t>
      </w:r>
      <w:r>
        <w:rPr>
          <w:rStyle w:val="VerbatimChar"/>
        </w:rPr>
        <w:t xml:space="preserve">stars</w:t>
      </w:r>
      <w:r>
        <w:t xml:space="preserve"> </w:t>
      </w:r>
      <w:r>
        <w:t xml:space="preserve">y las réplicas estadísticas de ENSO y caudal IDEAM con</w:t>
      </w:r>
      <w:r>
        <w:t xml:space="preserve"> </w:t>
      </w:r>
      <w:r>
        <w:rPr>
          <w:rStyle w:val="VerbatimChar"/>
        </w:rPr>
        <w:t xml:space="preserve">tidyverse</w:t>
      </w:r>
      <w:r>
        <w:t xml:space="preserve">.</w:t>
      </w:r>
      <w:r>
        <w:t xml:space="preserve"> </w:t>
      </w:r>
      <w:r>
        <w:rPr>
          <w:b/>
          <w:bCs/>
        </w:rPr>
        <w:t xml:space="preserve">Julia</w:t>
      </w:r>
      <w:r>
        <w:t xml:space="preserve"> </w:t>
      </w:r>
      <w:r>
        <w:t xml:space="preserve">ejecuta el cómputo geométrico sobre miles de polígonos: fragmentación (NP, MSI, NND), área en EPSG:9377 con</w:t>
      </w:r>
      <w:r>
        <w:t xml:space="preserve"> </w:t>
      </w:r>
      <w:r>
        <w:rPr>
          <w:rStyle w:val="VerbatimChar"/>
        </w:rPr>
        <w:t xml:space="preserve">shoelace</w:t>
      </w:r>
      <w:r>
        <w:t xml:space="preserve"> </w:t>
      </w:r>
      <w:r>
        <w:t xml:space="preserve">y predicados DE-9IM con</w:t>
      </w:r>
      <w:r>
        <w:t xml:space="preserve"> </w:t>
      </w:r>
      <w:r>
        <w:rPr>
          <w:rStyle w:val="VerbatimChar"/>
        </w:rPr>
        <w:t xml:space="preserve">LibGEOS.jl</w:t>
      </w:r>
      <w:r>
        <w:t xml:space="preserve">. La equivalencia operativa entre los tres lenguajes se demuestra mediante cuatro validaciones cruzadas documentadas en la sección homónima de Resultados.</w:t>
      </w:r>
    </w:p>
    <w:tbl>
      <w:tblPr>
        <w:tblStyle w:val="Table"/>
        <w:tblW w:type="pct" w:w="5000"/>
        <w:tblLayout w:type="fixed"/>
        <w:tblLook w:firstRow="0" w:lastRow="0" w:firstColumn="0" w:lastColumn="0" w:noHBand="0" w:noVBand="0" w:val="0000"/>
      </w:tblPr>
      <w:tblGrid>
        <w:gridCol w:w="7920"/>
      </w:tblGrid>
      <w:tr>
        <w:tc>
          <w:tcPr/>
          <w:bookmarkStart w:id="35" w:name="tbl-lenguajes"/>
          <w:p>
            <w:pPr>
              <w:jc w:val="center"/>
            </w:pPr>
            <w:pPr>
              <w:jc w:val="left"/>
              <w:spacing w:before="200"/>
              <w:pStyle w:val="ImageCaption"/>
            </w:pPr>
            <w: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ayout w:type="fixed"/>
              <w:tblLook w:firstRow="1" w:lastRow="0" w:firstColumn="0" w:lastColumn="0" w:noHBand="0" w:noVBand="0" w:val="0020"/>
            </w:tblPr>
            <w:tblGrid>
              <w:gridCol w:w="950"/>
              <w:gridCol w:w="2376"/>
              <w:gridCol w:w="1742"/>
              <w:gridCol w:w="2851"/>
            </w:tblGrid>
            <w:tr>
              <w:trPr>
                <w:tblHeader w:val="on"/>
              </w:trPr>
              <w:tc>
                <w:tcPr/>
                <w:p>
                  <w:pPr>
                    <w:pStyle w:val="Compact"/>
                    <w:jc w:val="center"/>
                  </w:pPr>
                  <w:r>
                    <w:t xml:space="preserve">Lenguaje</w:t>
                  </w:r>
                </w:p>
              </w:tc>
              <w:tc>
                <w:tcPr/>
                <w:p>
                  <w:pPr>
                    <w:pStyle w:val="Compact"/>
                    <w:jc w:val="center"/>
                  </w:pPr>
                  <w:r>
                    <w:t xml:space="preserve">Función técnica</w:t>
                  </w:r>
                </w:p>
              </w:tc>
              <w:tc>
                <w:tcPr/>
                <w:p>
                  <w:pPr>
                    <w:pStyle w:val="Compact"/>
                    <w:jc w:val="center"/>
                  </w:pPr>
                  <w:r>
                    <w:t xml:space="preserve">Librerías clave</w:t>
                  </w:r>
                </w:p>
              </w:tc>
              <w:tc>
                <w:tcPr/>
                <w:p>
                  <w:pPr>
                    <w:pStyle w:val="Compact"/>
                    <w:jc w:val="center"/>
                  </w:pPr>
                  <w:r>
                    <w:t xml:space="preserve">Notebooks / scripts principales</w:t>
                  </w:r>
                </w:p>
              </w:tc>
            </w:tr>
            <w:tr>
              <w:tc>
                <w:tcPr/>
                <w:p>
                  <w:pPr>
                    <w:pStyle w:val="Compact"/>
                    <w:jc w:val="center"/>
                  </w:pPr>
                  <w:r>
                    <w:rPr>
                      <w:b/>
                      <w:bCs/>
                    </w:rPr>
                    <w:t xml:space="preserve">Python</w:t>
                  </w:r>
                </w:p>
              </w:tc>
              <w:tc>
                <w:tcPr/>
                <w:p>
                  <w:pPr>
                    <w:pStyle w:val="Compact"/>
                    <w:jc w:val="center"/>
                  </w:pPr>
                  <w:r>
                    <w:t xml:space="preserve">Adquisición GEE, segmentación SAM, Random Forest, datacubes, dashboard</w:t>
                  </w:r>
                </w:p>
              </w:tc>
              <w:tc>
                <w:tcPr/>
                <w:p>
                  <w:pPr>
                    <w:pStyle w:val="Compac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center"/>
                  </w:pPr>
                  <w:r>
                    <w:rPr>
                      <w:b/>
                      <w:bCs/>
                    </w:rPr>
                    <w:t xml:space="preserve">R</w:t>
                  </w:r>
                </w:p>
              </w:tc>
              <w:tc>
                <w:tcPr/>
                <w:p>
                  <w:pPr>
                    <w:pStyle w:val="Compact"/>
                    <w:jc w:val="center"/>
                  </w:pPr>
                  <w:r>
                    <w:t xml:space="preserve">Detección de quiebres bfast, cubo stars, réplicas estadísticas</w:t>
                  </w:r>
                </w:p>
              </w:tc>
              <w:tc>
                <w:tcPr/>
                <w:p>
                  <w:pPr>
                    <w:pStyle w:val="Compac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center"/>
                  </w:pPr>
                  <w:r>
                    <w:rPr>
                      <w:b/>
                      <w:bCs/>
                    </w:rPr>
                    <w:t xml:space="preserve">Julia</w:t>
                  </w:r>
                </w:p>
              </w:tc>
              <w:tc>
                <w:tcPr/>
                <w:p>
                  <w:pPr>
                    <w:pStyle w:val="Compact"/>
                    <w:jc w:val="center"/>
                  </w:pPr>
                  <w:r>
                    <w:t xml:space="preserve">Métricas de fragmentación, topología DE-9IM, cómputo geométrico</w:t>
                  </w:r>
                </w:p>
              </w:tc>
              <w:tc>
                <w:tcPr/>
                <w:p>
                  <w:pPr>
                    <w:pStyle w:val="Compac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center"/>
                  </w:pPr>
                  <w:r>
                    <w:rPr>
                      <w:rStyle w:val="VerbatimChar"/>
                    </w:rPr>
                    <w:t xml:space="preserve">src/julia/04_fragmentacion.jl</w:t>
                  </w:r>
                  <w:r>
                    <w:t xml:space="preserve">,</w:t>
                  </w:r>
                  <w:r>
                    <w:t xml:space="preserve"> </w:t>
                  </w:r>
                  <w:r>
                    <w:rPr>
                      <w:rStyle w:val="VerbatimChar"/>
                    </w:rPr>
                    <w:t xml:space="preserve">notebooks/04c_topologia_julia</w:t>
                  </w:r>
                  <w:r>
                    <w:t xml:space="preserve">,</w:t>
                  </w:r>
                  <w:r>
                    <w:t xml:space="preserve"> </w:t>
                  </w:r>
                  <w:r>
                    <w:rPr>
                      <w:rStyle w:val="VerbatimChar"/>
                    </w:rPr>
                    <w:t xml:space="preserve">14_validacion_trilingual</w:t>
                  </w:r>
                </w:p>
              </w:tc>
            </w:tr>
          </w:tbl>
          <w:bookmarkEnd w:id="35"/>
          <w:p/>
        </w:tc>
      </w:tr>
    </w:tbl>
    <w:bookmarkEnd w:id="36"/>
    <w:bookmarkStart w:id="42" w:name="X6d916e89bf56b7b9d58601b12f1daefed66a59f"/>
    <w:p>
      <w:pPr>
        <w:pStyle w:val="Heading2"/>
      </w:pPr>
      <w:r>
        <w:t xml:space="preserve">8.2 Fase 1: Construcción del datacube multitemporal (Python + geemap)</w:t>
      </w:r>
    </w:p>
    <w:p>
      <w:pPr>
        <w:pStyle w:val="FirstParagraph"/>
      </w:pPr>
      <w:r>
        <w:t xml:space="preserve">La primera fase del pipeline consiste en la construcción de un datacube listo para análisis —una estructura tridimensional (X, Y, tiempo) que organiza las observaciónes satelitales de la CGSM a resoluciónes de 10 a 30 metros segun el sensor, donde cada capa temporal contiene los valores de reflectancia superficial e índices espectrales derivados para un periodo de composición determinado—. Se construye una coleccion de 789 imagenes Sentinel-2 SR Harmonized para el periodo 2018–2025, filtrada por cobertura de nubes inferior al 20% y recortada al polígono del área de estudio. Se aplica una mascara de nubes utilizando la banda QA60 y se calculan los índices NDVI = (B8-B4)/(B8+B4), NDWI = (B3-B8)/(B3+B8) y CMRI = NDVI - NDWI por imagen, cuya efectividad para discriminar manglar de otras coberturas en ambientes estuarinos ha sido documentada por Gupta et al. (2018).</w:t>
      </w:r>
      <w:r>
        <w:t xml:space="preserve"> </w:t>
      </w:r>
      <w:r>
        <w:rPr>
          <w:i/>
          <w:iCs/>
        </w:rPr>
        <w:t xml:space="preserve">La construcción de la colección Sentinel-2 SR Harmonized en GEE con cálculo de los tres índices espectrales se documenta en el Anexo E, ítem E.1.d.</w:t>
      </w:r>
    </w:p>
    <w:p>
      <w:pPr>
        <w:pStyle w:val="BodyText"/>
      </w:pPr>
      <w:r>
        <w:t xml:space="preserve">El datacube se materializa adicionalmente como tres archivos NetCDF con convenciones CF-1.8 —generados por el script</w:t>
      </w:r>
      <w:r>
        <w:t xml:space="preserve"> </w:t>
      </w:r>
      <w:r>
        <w:rPr>
          <w:rStyle w:val="VerbatimChar"/>
        </w:rPr>
        <w:t xml:space="preserve">build_cubos.py</w:t>
      </w:r>
      <w:r>
        <w:t xml:space="preserve"> </w:t>
      </w:r>
      <w:r>
        <w:t xml:space="preserve">mediante</w:t>
      </w:r>
      <w:r>
        <w:t xml:space="preserve"> </w:t>
      </w:r>
      <w:r>
        <w:rPr>
          <w:rStyle w:val="VerbatimChar"/>
        </w:rPr>
        <w:t xml:space="preserve">xarray</w:t>
      </w:r>
      <w:r>
        <w:t xml:space="preserve"> </w:t>
      </w:r>
      <w:r>
        <w:t xml:space="preserve">y</w:t>
      </w:r>
      <w:r>
        <w:t xml:space="preserve"> </w:t>
      </w:r>
      <w:r>
        <w:rPr>
          <w:rStyle w:val="VerbatimChar"/>
        </w:rPr>
        <w:t xml:space="preserve">rioxarray</w:t>
      </w:r>
      <w:r>
        <w:t xml:space="preserve">—, de modo que el cubo queda disponible en disco para análisis fuera de la nube y reutilizable desde Python, R o Julia sin necesidad de re-consultar la API de GEE. Cada raster se reproyecta al sistema oficial colombiano EPSG:9377 y se resamplea a 30 metros antes de concatenarse a lo largo del eje temporal, de esta manera los tres cubos comparten una sola rejilla espacial y se diferencian únicamente por la fuente sensorial y la frecuencia temporal, así el flujo de la Fase 4 puede leer cualquiera de los tres con el mismo bloque de código.</w:t>
      </w:r>
    </w:p>
    <w:tbl>
      <w:tblPr>
        <w:tblStyle w:val="Table"/>
        <w:tblW w:type="pct" w:w="5000"/>
        <w:tblLayout w:type="fixed"/>
        <w:tblLook w:firstRow="0" w:lastRow="0" w:firstColumn="0" w:lastColumn="0" w:noHBand="0" w:noVBand="0" w:val="0000"/>
      </w:tblPr>
      <w:tblGrid>
        <w:gridCol w:w="7920"/>
      </w:tblGrid>
      <w:tr>
        <w:tc>
          <w:tcPr/>
          <w:bookmarkStart w:id="37" w:name="tbl-cubos"/>
          <w:p>
            <w:pPr>
              <w:jc w:val="center"/>
            </w:pPr>
            <w:pPr>
              <w:jc w:val="left"/>
              <w:spacing w:before="200"/>
              <w:pStyle w:val="ImageCaption"/>
            </w:pPr>
            <w:r>
              <w:t xml:space="preserve">Tabla 3: Datacubes NetCDF CF-1.8 materializados sobre el AOI acotado en EPSG:9377 (MAGNA-SIRGAS Origen Nacional), comprimidos con zlib nivel 4.</w:t>
            </w:r>
          </w:p>
          <w:tbl>
            <w:tblPr>
              <w:tblStyle w:val="Table"/>
              <w:tblW w:type="pct" w:w="5000"/>
              <w:tblLayout w:type="fixed"/>
              <w:tblLook w:firstRow="1" w:lastRow="0" w:firstColumn="0" w:lastColumn="0" w:noHBand="0" w:noVBand="0" w:val="0020"/>
            </w:tblPr>
            <w:tblGrid>
              <w:gridCol w:w="2217"/>
              <w:gridCol w:w="1108"/>
              <w:gridCol w:w="1425"/>
              <w:gridCol w:w="1900"/>
              <w:gridCol w:w="792"/>
              <w:gridCol w:w="475"/>
            </w:tblGrid>
            <w:tr>
              <w:trPr>
                <w:tblHeader w:val="on"/>
              </w:trPr>
              <w:tc>
                <w:tcPr/>
                <w:p>
                  <w:pPr>
                    <w:pStyle w:val="Compact"/>
                    <w:jc w:val="center"/>
                  </w:pPr>
                  <w:r>
                    <w:t xml:space="preserve">Archivo</w:t>
                  </w:r>
                </w:p>
              </w:tc>
              <w:tc>
                <w:tcPr/>
                <w:p>
                  <w:pPr>
                    <w:pStyle w:val="Compact"/>
                    <w:jc w:val="center"/>
                  </w:pPr>
                  <w:r>
                    <w:t xml:space="preserve">Sensor</w:t>
                  </w:r>
                </w:p>
              </w:tc>
              <w:tc>
                <w:tcPr/>
                <w:p>
                  <w:pPr>
                    <w:pStyle w:val="Compact"/>
                    <w:jc w:val="center"/>
                  </w:pPr>
                  <w:r>
                    <w:t xml:space="preserve">Frecuencia</w:t>
                  </w:r>
                </w:p>
              </w:tc>
              <w:tc>
                <w:tcPr/>
                <w:p>
                  <w:pPr>
                    <w:pStyle w:val="Compact"/>
                    <w:jc w:val="center"/>
                  </w:pPr>
                  <w:r>
                    <w:t xml:space="preserve">Periodo</w:t>
                  </w:r>
                </w:p>
              </w:tc>
              <w:tc>
                <w:tcPr/>
                <w:p>
                  <w:pPr>
                    <w:pStyle w:val="Compact"/>
                    <w:jc w:val="center"/>
                  </w:pPr>
                  <w:r>
                    <w:t xml:space="preserve">Bandas</w:t>
                  </w:r>
                </w:p>
              </w:tc>
              <w:tc>
                <w:tcPr/>
                <w:p>
                  <w:pPr>
                    <w:pStyle w:val="Compact"/>
                    <w:jc w:val="center"/>
                  </w:pPr>
                  <w:r>
                    <w:t xml:space="preserve">Tamaño</w:t>
                  </w:r>
                </w:p>
              </w:tc>
            </w:tr>
            <w:tr>
              <w:tc>
                <w:tcPr/>
                <w:p>
                  <w:pPr>
                    <w:pStyle w:val="Compact"/>
                    <w:jc w:val="center"/>
                  </w:pPr>
                  <w:r>
                    <w:rPr>
                      <w:rStyle w:val="VerbatimChar"/>
                    </w:rPr>
                    <w:t xml:space="preserve">cgsm_datacube_periodos.nc</w:t>
                  </w:r>
                </w:p>
              </w:tc>
              <w:tc>
                <w:tcPr/>
                <w:p>
                  <w:pPr>
                    <w:pStyle w:val="Compact"/>
                    <w:jc w:val="center"/>
                  </w:pPr>
                  <w:r>
                    <w:t xml:space="preserve">Sentinel-2</w:t>
                  </w:r>
                </w:p>
              </w:tc>
              <w:tc>
                <w:tcPr/>
                <w:p>
                  <w:pPr>
                    <w:pStyle w:val="Compact"/>
                    <w:jc w:val="center"/>
                  </w:pPr>
                  <w:r>
                    <w:t xml:space="preserve">Tres composites discretos</w:t>
                  </w:r>
                </w:p>
              </w:tc>
              <w:tc>
                <w:tcPr/>
                <w:p>
                  <w:pPr>
                    <w:pStyle w:val="Compact"/>
                    <w:jc w:val="center"/>
                  </w:pPr>
                  <w:r>
                    <w:t xml:space="preserve">Degradación (2020 H2), recuperación (2022 H1), actual (2024–2025)</w:t>
                  </w:r>
                </w:p>
              </w:tc>
              <w:tc>
                <w:tcPr/>
                <w:p>
                  <w:pPr>
                    <w:pStyle w:val="Compact"/>
                    <w:jc w:val="center"/>
                  </w:pPr>
                  <w:r>
                    <w:t xml:space="preserve">RGB (B4, B3, B2)</w:t>
                  </w:r>
                </w:p>
              </w:tc>
              <w:tc>
                <w:tcPr/>
                <w:p>
                  <w:pPr>
                    <w:pStyle w:val="Compact"/>
                    <w:jc w:val="center"/>
                  </w:pPr>
                  <w:r>
                    <w:t xml:space="preserve">40 MB</w:t>
                  </w:r>
                </w:p>
              </w:tc>
            </w:tr>
            <w:tr>
              <w:tc>
                <w:tcPr/>
                <w:p>
                  <w:pPr>
                    <w:pStyle w:val="Compact"/>
                    <w:jc w:val="center"/>
                  </w:pPr>
                  <w:r>
                    <w:rPr>
                      <w:rStyle w:val="VerbatimChar"/>
                    </w:rPr>
                    <w:t xml:space="preserve">cgsm_datacube_trimestral.nc</w:t>
                  </w:r>
                </w:p>
              </w:tc>
              <w:tc>
                <w:tcPr/>
                <w:p>
                  <w:pPr>
                    <w:pStyle w:val="Compact"/>
                    <w:jc w:val="center"/>
                  </w:pPr>
                  <w:r>
                    <w:t xml:space="preserve">Sentinel-2</w:t>
                  </w:r>
                </w:p>
              </w:tc>
              <w:tc>
                <w:tcPr/>
                <w:p>
                  <w:pPr>
                    <w:pStyle w:val="Compact"/>
                    <w:jc w:val="center"/>
                  </w:pPr>
                  <w:r>
                    <w:t xml:space="preserve">Trimestral</w:t>
                  </w:r>
                </w:p>
              </w:tc>
              <w:tc>
                <w:tcPr/>
                <w:p>
                  <w:pPr>
                    <w:pStyle w:val="Compact"/>
                    <w:jc w:val="center"/>
                  </w:pPr>
                  <w:r>
                    <w:t xml:space="preserve">2018-Q1 a 2025-Q4 (31 trimestres)</w:t>
                  </w:r>
                </w:p>
              </w:tc>
              <w:tc>
                <w:tcPr/>
                <w:p>
                  <w:pPr>
                    <w:pStyle w:val="Compact"/>
                    <w:jc w:val="center"/>
                  </w:pPr>
                  <w:r>
                    <w:t xml:space="preserve">NDVI, NDWI, CMRI</w:t>
                  </w:r>
                </w:p>
              </w:tc>
              <w:tc>
                <w:tcPr/>
                <w:p>
                  <w:pPr>
                    <w:pStyle w:val="Compact"/>
                    <w:jc w:val="center"/>
                  </w:pPr>
                  <w:r>
                    <w:t xml:space="preserve">275 MB</w:t>
                  </w:r>
                </w:p>
              </w:tc>
            </w:tr>
            <w:tr>
              <w:tc>
                <w:tcPr/>
                <w:p>
                  <w:pPr>
                    <w:pStyle w:val="Compact"/>
                    <w:jc w:val="center"/>
                  </w:pPr>
                  <w:r>
                    <w:rPr>
                      <w:rStyle w:val="VerbatimChar"/>
                    </w:rPr>
                    <w:t xml:space="preserve">cgsm_datacube_landsat.nc</w:t>
                  </w:r>
                </w:p>
              </w:tc>
              <w:tc>
                <w:tcPr/>
                <w:p>
                  <w:pPr>
                    <w:pStyle w:val="Compact"/>
                    <w:jc w:val="center"/>
                  </w:pPr>
                  <w:r>
                    <w:t xml:space="preserve">Landsat 8/9</w:t>
                  </w:r>
                </w:p>
              </w:tc>
              <w:tc>
                <w:tcPr/>
                <w:p>
                  <w:pPr>
                    <w:pStyle w:val="Compact"/>
                    <w:jc w:val="center"/>
                  </w:pPr>
                  <w:r>
                    <w:t xml:space="preserve">Anual</w:t>
                  </w:r>
                </w:p>
              </w:tc>
              <w:tc>
                <w:tcPr/>
                <w:p>
                  <w:pPr>
                    <w:pStyle w:val="Compact"/>
                    <w:jc w:val="center"/>
                  </w:pPr>
                  <w:r>
                    <w:t xml:space="preserve">2013–2025 (13 años)</w:t>
                  </w:r>
                </w:p>
              </w:tc>
              <w:tc>
                <w:tcPr/>
                <w:p>
                  <w:pPr>
                    <w:pStyle w:val="Compact"/>
                    <w:jc w:val="center"/>
                  </w:pPr>
                  <w:r>
                    <w:t xml:space="preserve">NDVI, NDWI, CMRI</w:t>
                  </w:r>
                </w:p>
              </w:tc>
              <w:tc>
                <w:tcPr/>
                <w:p>
                  <w:pPr>
                    <w:pStyle w:val="Compact"/>
                    <w:jc w:val="center"/>
                  </w:pPr>
                  <w:r>
                    <w:t xml:space="preserve">119 MB</w:t>
                  </w:r>
                </w:p>
              </w:tc>
            </w:tr>
          </w:tbl>
          <w:bookmarkEnd w:id="37"/>
          <w:p/>
        </w:tc>
      </w:tr>
    </w:tbl>
    <w:p>
      <w:pPr>
        <w:pStyle w:val="BodyText"/>
      </w:pPr>
      <w:r>
        <w:rPr>
          <w:i/>
          <w:iCs/>
        </w:rPr>
        <w:t xml:space="preserve">El bloque de lectura perezosa del datacube NetCDF con</w:t>
      </w:r>
      <w:r>
        <w:rPr>
          <w:i/>
          <w:iCs/>
        </w:rPr>
        <w:t xml:space="preserve"> </w:t>
      </w:r>
      <w:r>
        <w:rPr>
          <w:rStyle w:val="VerbatimChar"/>
          <w:i/>
          <w:iCs/>
        </w:rPr>
        <w:t xml:space="preserve">xarray</w:t>
      </w:r>
      <w:r>
        <w:rPr>
          <w:i/>
          <w:iCs/>
        </w:rPr>
        <w:t xml:space="preserve"> </w:t>
      </w:r>
      <w:r>
        <w:rPr>
          <w:i/>
          <w:iCs/>
        </w:rPr>
        <w:t xml:space="preserve">se documenta en el Anexo E, ítem E.1.a.</w:t>
      </w:r>
    </w:p>
    <w:p>
      <w:pPr>
        <w:pStyle w:val="BodyText"/>
      </w:pPr>
      <w: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t xml:space="preserve"> </w:t>
      </w:r>
      <w:hyperlink w:anchor="fig-ndvi-cambio">
        <w:r>
          <w:rPr>
            <w:rStyle w:val="Hyperlink"/>
          </w:rPr>
          <w:t xml:space="preserve">figura 2</w:t>
        </w:r>
      </w:hyperlink>
      <w:r>
        <w:t xml:space="preserve"> </w:t>
      </w:r>
      <w: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Style w:val="Table"/>
        <w:tblW w:type="pct" w:w="5000"/>
        <w:tblLayout w:type="fixed"/>
        <w:tblLook w:firstRow="0" w:lastRow="0" w:firstColumn="0" w:lastColumn="0" w:noHBand="0" w:noVBand="0" w:val="0000"/>
      </w:tblPr>
      <w:tblGrid>
        <w:gridCol w:w="7920"/>
      </w:tblGrid>
      <w:tr>
        <w:tc>
          <w:tcPr/>
          <w:bookmarkStart w:id="41" w:name="fig-ndvi-cambio"/>
          <w:p>
            <w:pPr>
              <w:pStyle w:val="Compact"/>
              <w:jc w:val="center"/>
            </w:pPr>
            <w:r>
              <w:drawing>
                <wp:inline>
                  <wp:extent cx="4533900" cy="3885152"/>
                  <wp:effectExtent b="0" l="0" r="0" t="0"/>
                  <wp:docPr descr="" title="" id="39" name="Picture"/>
                  <a:graphic>
                    <a:graphicData uri="http://schemas.openxmlformats.org/drawingml/2006/picture">
                      <pic:pic>
                        <pic:nvPicPr>
                          <pic:cNvPr descr="../outputs/figures/ndvi_cambio_cubo.png" id="40" name="Picture"/>
                          <pic:cNvPicPr>
                            <a:picLocks noChangeArrowheads="1" noChangeAspect="1"/>
                          </pic:cNvPicPr>
                        </pic:nvPicPr>
                        <pic:blipFill>
                          <a:blip r:embed="rId38"/>
                          <a:stretch>
                            <a:fillRect/>
                          </a:stretch>
                        </pic:blipFill>
                        <pic:spPr bwMode="auto">
                          <a:xfrm>
                            <a:off x="0" y="0"/>
                            <a:ext cx="4533900" cy="3885152"/>
                          </a:xfrm>
                          <a:prstGeom prst="rect">
                            <a:avLst/>
                          </a:prstGeom>
                          <a:noFill/>
                          <a:ln w="9525">
                            <a:noFill/>
                            <a:headEnd/>
                            <a:tailEnd/>
                          </a:ln>
                        </pic:spPr>
                      </pic:pic>
                    </a:graphicData>
                  </a:graphic>
                </wp:inline>
              </w:drawing>
            </w:r>
          </w:p>
          <w:p>
            <w:pPr>
              <w:jc w:val="center"/>
            </w:pPr>
            <w:pPr>
              <w:jc w:val="left"/>
              <w:spacing w:before="200"/>
              <w:pStyle w:val="ImageCaption"/>
            </w:pPr>
            <w:r>
              <w:t xml:space="preserve">Figura 2: Cambio en la mediana de NDVI entre el estado actual (2024–2025) y el periodo de degradación (2020 H2), calculado desde el datacube trimestral CF-1.8 sobre el AOI acotado. El azul indica ganancia de vigor (regeneración), el rojo indica pérdida; coordenadas en metros sobre EPSG:9377 MAGNA-SIRGAS Origen Nacional.</w:t>
            </w:r>
          </w:p>
          <w:bookmarkEnd w:id="41"/>
        </w:tc>
      </w:tr>
    </w:tbl>
    <w:bookmarkEnd w:id="42"/>
    <w:bookmarkStart w:id="43" w:name="Xef39b5822de2a8d5b16b154c96053420e3589a1"/>
    <w:p>
      <w:pPr>
        <w:pStyle w:val="Heading2"/>
      </w:pPr>
      <w:r>
        <w:t xml:space="preserve">8.3 Fase 2: Análisis de series de tiempo (Python + pandas / R + bfast)</w:t>
      </w:r>
    </w:p>
    <w:p>
      <w:pPr>
        <w:pStyle w:val="FirstParagraph"/>
      </w:pPr>
      <w:r>
        <w:t xml:space="preserve">Se extraen series temporales mensuales de NDVI para las 8 estaciones de muestreo definidas, utilizando un buffer de 500 metros alrededor de cada punto y la función reduceRegion de GEE para obtener el valor medio del índice por estación y por mes. La serie se construye combinando dos sensores: Landsat 8 Collection 2 Level 2 para el periodo 2013–2017 (345 registros, con corrección del factor de escala x0,0000275 - 0,2 segun especificacion USGS) y Sentinel-2 SR Harmonized para el periodo 2018–2025 (584 registros), generando una serie combinada de 929 observaciónes mensuales que cubre 12 años. Posteriormente se calcula el z-score temporal por estación —z = (NDVI del mes - media histórica) / desvíacion estandar—, lo que permite identificar anomalias pronunciadas definidas como aquellas con z &lt; -2. De manera complementaria, se aplica el algoritmo bfast (Breaks For Additive Season and Trend) en R sobre las series mensuales combinadas con parámetros h = 0,15 y h = 0,10 para evaluar la presencia de quiebres estructurales en la tendencia de largo plazo.</w:t>
      </w:r>
    </w:p>
    <w:p>
      <w:pPr>
        <w:pStyle w:val="BodyText"/>
      </w:pPr>
      <w:r>
        <w:rPr>
          <w:i/>
          <w:iCs/>
        </w:rPr>
        <w:t xml:space="preserve">El cálculo de z-scores y la detección de anomalías en Python se documentan en el Anexo E, ítem E.1.b; la aplicación de bfast en R sobre la serie combinada Landsat 8 + Sentinel-2 se documenta en el ítem E.1.e.</w:t>
      </w:r>
    </w:p>
    <w:bookmarkEnd w:id="43"/>
    <w:bookmarkStart w:id="44" w:name="Xdbb4cc8b21eead9bd6c4afe235887ebf7e4b020"/>
    <w:p>
      <w:pPr>
        <w:pStyle w:val="Heading2"/>
      </w:pPr>
      <w:r>
        <w:t xml:space="preserve">8.4 Fase 3: Segmentación automática con SamGeo (Python + samgeo)</w:t>
      </w:r>
    </w:p>
    <w:p>
      <w:pPr>
        <w:pStyle w:val="FirstParagraph"/>
      </w:pPr>
      <w:r>
        <w:t xml:space="preserve">Se aplica el modelo SamGeo con el backbone vit_b sobre los composites RGB de los tres periodos de referencia —degradación (julio–diciembre 2020), recuperación (enero–junio 2022) y estado actual (julio 2024 a junio 2025)—, prevíamente remuestreados de 10 a 30 metros para ajustarse a las limitaciones de memoria del contenedor Docker. Las mascaras resultantes se vectorizan y se clasifican por estado —manglar o no manglar— segun el valor medio de CMRI dentro de cada parche, calculado mediante reduceRegions en GEE con procesamiento en lotes de 200 parches. Se filtran los parches por área minima de 1 hectárea y maxima de 5.000 hectáreas para eliminar fragmentos de ruido y fondos de imagen.</w:t>
      </w:r>
    </w:p>
    <w:p>
      <w:pPr>
        <w:pStyle w:val="BodyText"/>
      </w:pPr>
      <w:r>
        <w:rPr>
          <w:i/>
          <w:iCs/>
        </w:rPr>
        <w:t xml:space="preserve">La segmentación promptable con SamGeo vit_b y la vectorización por periodo se documentan en el Anexo E, ítem E.2.b.</w:t>
      </w:r>
    </w:p>
    <w:bookmarkEnd w:id="44"/>
    <w:bookmarkStart w:id="45" w:name="Xeecd85486b9012f96375d5decbbd65088d69214"/>
    <w:p>
      <w:pPr>
        <w:pStyle w:val="Heading2"/>
      </w:pPr>
      <w:r>
        <w:t xml:space="preserve">8.5 Fase 4: Métricas de fragmentación del paisaje (Julia)</w:t>
      </w:r>
    </w:p>
    <w:p>
      <w:pPr>
        <w:pStyle w:val="FirstParagraph"/>
      </w:pPr>
      <w:r>
        <w:t xml:space="preserve">Se computan métricas de ecología del paisaje sobre los parches de manglar vectorizados para cada uno de los tres periodos, aprovechando la velocidad de Julia en operaciones geométricas sobre grandes volumenes de datos vectoriales. Las métricas incluyen: número de parches, densidad de parches por 1.000 hectáreas, área media de parche con desvíacion estandar, índice de forma medio —MSI = perimetro / sqrt(pi x área)—, distribución de parches por clases de tamano (1–10, 10–50, 50–100, 100–500, 500–1.000 y 1.000–5.000 ha), y distancia media al vecino más cercano —NND— como indicador de conectividad.</w:t>
      </w:r>
    </w:p>
    <w:p>
      <w:pPr>
        <w:pStyle w:val="BodyText"/>
      </w:pPr>
      <w:r>
        <w:rPr>
          <w:i/>
          <w:iCs/>
        </w:rPr>
        <w:t xml:space="preserve">La función</w:t>
      </w:r>
      <w:r>
        <w:rPr>
          <w:i/>
          <w:iCs/>
        </w:rPr>
        <w:t xml:space="preserve"> </w:t>
      </w:r>
      <w:r>
        <w:rPr>
          <w:rStyle w:val="VerbatimChar"/>
          <w:i/>
          <w:iCs/>
        </w:rPr>
        <w:t xml:space="preserve">compute_metrics</w:t>
      </w:r>
      <w:r>
        <w:rPr>
          <w:i/>
          <w:iCs/>
        </w:rPr>
        <w:t xml:space="preserve"> </w:t>
      </w:r>
      <w:r>
        <w:rPr>
          <w:i/>
          <w:iCs/>
        </w:rPr>
        <w:t xml:space="preserve">en Julia que calcula área (algoritmo del cordón), MSI y NND sobre los parches reproyectados a EPSG:9377 se documenta en el Anexo E, ítem E.4.a.</w:t>
      </w:r>
    </w:p>
    <w:bookmarkEnd w:id="45"/>
    <w:bookmarkStart w:id="46" w:name="Xc7bf14ca353f94886b1e8861ae8e19552f5f88a"/>
    <w:p>
      <w:pPr>
        <w:pStyle w:val="Heading2"/>
      </w:pPr>
      <w:r>
        <w:t xml:space="preserve">8.6 Patrones de implementación: lectura perezosa, reproyección y topología</w:t>
      </w:r>
    </w:p>
    <w:p>
      <w:pPr>
        <w:pStyle w:val="FirstParagraph"/>
      </w:pPr>
      <w:r>
        <w:t xml:space="preserve">Tres patrones cierran la robustez técnica del flujo. Los rasters producidos por SamGeo se inspeccionan con</w:t>
      </w:r>
      <w:r>
        <w:t xml:space="preserve"> </w:t>
      </w:r>
      <w:r>
        <w:rPr>
          <w:rStyle w:val="VerbatimChar"/>
        </w:rPr>
        <w:t xml:space="preserve">rasterio.open()</w:t>
      </w:r>
      <w:r>
        <w:t xml:space="preserve"> </w:t>
      </w:r>
      <w:r>
        <w:t xml:space="preserve">sin materializar la grilla en memoria —lectura perezosa—, decisión que evitó el colapso del kernel observado al usar el backbone vit_h y motivó el cambio a vit_b. Los GeoJSON segmentados se reproyectan al sistema oficial colombiano MAGNA-SIRGAS Origen Nacional (</w:t>
      </w:r>
      <w:r>
        <w:rPr>
          <w:b/>
          <w:bCs/>
        </w:rPr>
        <w:t xml:space="preserve">EPSG:9377</w:t>
      </w:r>
      <w:r>
        <w:t xml:space="preserve">, estándar IGAC desde la Resolución 471 de 2020) mediante</w:t>
      </w:r>
      <w:r>
        <w:t xml:space="preserve"> </w:t>
      </w:r>
      <w:r>
        <w:rPr>
          <w:rStyle w:val="VerbatimChar"/>
        </w:rPr>
        <w:t xml:space="preserve">rasterio.warp</w:t>
      </w:r>
      <w:r>
        <w:t xml:space="preserve"> </w:t>
      </w:r>
      <w:r>
        <w:t xml:space="preserve">y</w:t>
      </w:r>
      <w:r>
        <w:t xml:space="preserve"> </w:t>
      </w:r>
      <w:r>
        <w:rPr>
          <w:rStyle w:val="VerbatimChar"/>
        </w:rPr>
        <w:t xml:space="preserve">geopandas.to_crs</w:t>
      </w:r>
      <w:r>
        <w:t xml:space="preserve">, lo que sustituye las aproximaciones esféricas iniciales y permite calcular el área en metros equivalentes. Sobre los parches reproyectados se aplican dos predicados topológicos DE-9IM con</w:t>
      </w:r>
      <w:r>
        <w:t xml:space="preserve"> </w:t>
      </w:r>
      <w:r>
        <w:rPr>
          <w:rStyle w:val="VerbatimChar"/>
        </w:rPr>
        <w:t xml:space="preserve">geopandas</w:t>
      </w:r>
      <w:r>
        <w:t xml:space="preserve"> </w:t>
      </w:r>
      <w:r>
        <w:t xml:space="preserve">y</w:t>
      </w:r>
      <w:r>
        <w:t xml:space="preserve"> </w:t>
      </w:r>
      <w:r>
        <w:rPr>
          <w:rStyle w:val="VerbatimChar"/>
        </w:rPr>
        <w:t xml:space="preserve">shapely</w:t>
      </w:r>
      <w:r>
        <w:t xml:space="preserve"> </w:t>
      </w:r>
      <w:r>
        <w:t xml:space="preserve">delegando en GEOS:</w:t>
      </w:r>
      <w:r>
        <w:t xml:space="preserve"> </w:t>
      </w:r>
      <w:r>
        <w:rPr>
          <w:rStyle w:val="VerbatimChar"/>
        </w:rPr>
        <w:t xml:space="preserve">intersects</w:t>
      </w:r>
      <w:r>
        <w:t xml:space="preserve"> </w:t>
      </w:r>
      <w:r>
        <w:t xml:space="preserve">con la frontera del AOI (tolerancia 30 m) identifica parches truncados por el límite cartográfico, y</w:t>
      </w:r>
      <w:r>
        <w:t xml:space="preserve"> </w:t>
      </w:r>
      <w:r>
        <w:rPr>
          <w:rStyle w:val="VerbatimChar"/>
        </w:rPr>
        <w:t xml:space="preserve">contains</w:t>
      </w:r>
      <w:r>
        <w:t xml:space="preserve"> </w:t>
      </w:r>
      <w:r>
        <w:t xml:space="preserve">con los puntos INVEMAR evalúa la envoltura espacial del muestreo.</w:t>
      </w:r>
      <w:r>
        <w:t xml:space="preserve"> </w:t>
      </w:r>
      <w:r>
        <w:rPr>
          <w:i/>
          <w:iCs/>
        </w:rPr>
        <w:t xml:space="preserve">El bloque articulado se documenta en el Anexo E, ítem E.2.a.</w:t>
      </w:r>
    </w:p>
    <w:bookmarkEnd w:id="46"/>
    <w:bookmarkStart w:id="47" w:name="X448d853205a0a38533bf54f9b48732c8b1922c8"/>
    <w:p>
      <w:pPr>
        <w:pStyle w:val="Heading2"/>
      </w:pPr>
      <w:r>
        <w:t xml:space="preserve">8.7 Forzamiento climático y validación local en R</w:t>
      </w:r>
    </w:p>
    <w:p>
      <w:pPr>
        <w:pStyle w:val="FirstParagraph"/>
      </w:pPr>
      <w:r>
        <w:t xml:space="preserve">El acoplamiento climático del manglar se valida con cuatro fuentes complementarias —ERA5-Land (ECMWF) descargado con</w:t>
      </w:r>
      <w:r>
        <w:t xml:space="preserve"> </w:t>
      </w:r>
      <w:r>
        <w:rPr>
          <w:rStyle w:val="VerbatimChar"/>
        </w:rPr>
        <w:t xml:space="preserve">cdsapi</w:t>
      </w:r>
      <w:r>
        <w:t xml:space="preserve">, índices ENSO ONI y SOI de NOAA, caudal IDEAM-DHIME y precipitación CHIRPS— cruzadas con la anomalía NDVI z-score en rezagos de 0 a 3 meses, todas desagregadas por naturaleza espectral de las estaciones. La elaboración completa de este análisis, con las cuatro tablas de correlación y la reformulación de la cadena causal, se desarrolla en la sección</w:t>
      </w:r>
      <w:r>
        <w:t xml:space="preserve"> </w:t>
      </w:r>
      <w:r>
        <w:rPr>
          <w:b/>
          <w:bCs/>
        </w:rPr>
        <w:t xml:space="preserve">Forzamiento climático multifuente</w:t>
      </w:r>
      <w:r>
        <w:t xml:space="preserve"> </w:t>
      </w:r>
      <w:r>
        <w:t xml:space="preserve">de Resultados; los detalles operativos de descarga ERA5-Land se documentan en el Anexo E, ítem E.3.a. Como contraparte local del flujo Python+GEE de la Fase 2 se construye además un cubo</w:t>
      </w:r>
      <w:r>
        <w:t xml:space="preserve"> </w:t>
      </w:r>
      <w:r>
        <w:rPr>
          <w:rStyle w:val="VerbatimChar"/>
        </w:rPr>
        <w:t xml:space="preserve">stars</w:t>
      </w:r>
      <w:r>
        <w:t xml:space="preserve"> </w:t>
      </w:r>
      <w:r>
        <w:t xml:space="preserve">en R con los TIFs trimestrales Sentinel-2 ya descargados (</w:t>
      </w:r>
      <w:r>
        <w:rPr>
          <w:rStyle w:val="VerbatimChar"/>
        </w:rPr>
        <w:t xml:space="preserve">read_stars(..., proxy = TRUE)</w:t>
      </w:r>
      <w:r>
        <w:t xml:space="preserve"> </w:t>
      </w:r>
      <w:r>
        <w:t xml:space="preserve">+</w:t>
      </w:r>
      <w:r>
        <w:t xml:space="preserve"> </w:t>
      </w:r>
      <w:r>
        <w:rPr>
          <w:rStyle w:val="VerbatimChar"/>
        </w:rPr>
        <w:t xml:space="preserve">st_extract</w:t>
      </w:r>
      <w:r>
        <w:t xml:space="preserve">), cuya serie por estación se contrasta contra</w:t>
      </w:r>
      <w:r>
        <w:t xml:space="preserve"> </w:t>
      </w:r>
      <w:r>
        <w:rPr>
          <w:rStyle w:val="VerbatimChar"/>
        </w:rPr>
        <w:t xml:space="preserve">reduceRegions</w:t>
      </w:r>
      <w:r>
        <w:t xml:space="preserve"> </w:t>
      </w:r>
      <w:r>
        <w:t xml:space="preserve">en GEE para verificar que la serie temporal del proyecto no depende del entorno computacional (</w:t>
      </w:r>
      <m:oMath>
        <m:r>
          <m:t>ρ</m:t>
        </m:r>
        <m:r>
          <m:rPr>
            <m:sty m:val="p"/>
          </m:rPr>
          <m:t>&gt;</m:t>
        </m:r>
        <m:r>
          <m:t>0</m:t>
        </m:r>
        <m:r>
          <m:rPr>
            <m:sty m:val="p"/>
          </m:rPr>
          <m:t>,</m:t>
        </m:r>
        <m:r>
          <m:t>95</m:t>
        </m:r>
      </m:oMath>
      <w:r>
        <w:t xml:space="preserve"> </w:t>
      </w:r>
      <w:r>
        <w:t xml:space="preserve">y RMSE &lt; 0,05 unidades NDVI). El bloque R correspondiente se documenta en el Anexo E, ítem E.1.c, y la validación cruzada completa Python ↔ R ↔ Julia se reporta en la sección</w:t>
      </w:r>
      <w:r>
        <w:t xml:space="preserve"> </w:t>
      </w:r>
      <w:r>
        <w:rPr>
          <w:b/>
          <w:bCs/>
        </w:rPr>
        <w:t xml:space="preserve">Validación cruzada multilingüe</w:t>
      </w:r>
      <w:r>
        <w:t xml:space="preserve"> </w:t>
      </w:r>
      <w:r>
        <w:t xml:space="preserve">de Resultados.</w:t>
      </w:r>
    </w:p>
    <w:bookmarkEnd w:id="47"/>
    <w:bookmarkStart w:id="48" w:name="X2edcffed340f0a7e78cf7a88d39c005ea271e30"/>
    <w:p>
      <w:pPr>
        <w:pStyle w:val="Heading2"/>
      </w:pPr>
      <w:r>
        <w:t xml:space="preserve">8.8 Fase 5: Validación con datos NASA y dashboard</w:t>
      </w:r>
    </w:p>
    <w:p>
      <w:pPr>
        <w:pStyle w:val="FirstParagraph"/>
      </w:pPr>
      <w: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(banda VH, modo IW), comparando el backscatter medio del periodo seco de referencia (enero–marzo 2020, 49 imagenes) contra el periodo de inundación (septiembre–octubre 2020, 36 imagenes). Se aplica un umbral de diferencia de 3 dB para inundación en agua abierta y se identifica inundación bajo dosel de manglar mediante valores negativos de diferencia SAR —donde el aumento del backscatter refleja el scattering de doble rebote caracteristico de la interaccion agua-tronco—.</w:t>
      </w:r>
      <w:r>
        <w:t xml:space="preserve"> </w:t>
      </w:r>
      <w:r>
        <w:rPr>
          <w:i/>
          <w:iCs/>
        </w:rPr>
        <w:t xml:space="preserve">La detección de inundación Sentinel-1 SAR para el evento de septiembre 2020 se documenta en el Anexo E, ítem E.3.b.</w:t>
      </w:r>
    </w:p>
    <w:bookmarkEnd w:id="48"/>
    <w:bookmarkStart w:id="54" w:name="flujo-de-datos"/>
    <w:p>
      <w:pPr>
        <w:pStyle w:val="Heading2"/>
      </w:pPr>
      <w:r>
        <w:t xml:space="preserve">8.9 Flujo de datos</w:t>
      </w:r>
    </w:p>
    <w:tbl>
      <w:tblPr>
        <w:tblStyle w:val="Table"/>
        <w:tblW w:type="pct" w:w="5000"/>
        <w:tblLayout w:type="fixed"/>
        <w:tblLook w:firstRow="0" w:lastRow="0" w:firstColumn="0" w:lastColumn="0" w:noHBand="0" w:noVBand="0" w:val="0000"/>
      </w:tblPr>
      <w:tblGrid>
        <w:gridCol w:w="7920"/>
      </w:tblGrid>
      <w:tr>
        <w:tc>
          <w:tcPr/>
          <w:bookmarkStart w:id="52" w:name="fig-flujo"/>
          <w:p>
            <w:pPr>
              <w:pStyle w:val="Compact"/>
              <w:jc w:val="center"/>
            </w:pPr>
            <w:r>
              <w:drawing>
                <wp:inline>
                  <wp:extent cx="5067300" cy="918669"/>
                  <wp:effectExtent b="0" l="0" r="0" t="0"/>
                  <wp:docPr descr="" title="" id="50" name="Picture"/>
                  <a:graphic>
                    <a:graphicData uri="http://schemas.openxmlformats.org/drawingml/2006/picture">
                      <pic:pic>
                        <pic:nvPicPr>
                          <pic:cNvPr descr="../outputs/figures/flujo_metodologia.png" id="51" name="Picture"/>
                          <pic:cNvPicPr>
                            <a:picLocks noChangeArrowheads="1" noChangeAspect="1"/>
                          </pic:cNvPicPr>
                        </pic:nvPicPr>
                        <pic:blipFill>
                          <a:blip r:embed="rId49"/>
                          <a:stretch>
                            <a:fillRect/>
                          </a:stretch>
                        </pic:blipFill>
                        <pic:spPr bwMode="auto">
                          <a:xfrm>
                            <a:off x="0" y="0"/>
                            <a:ext cx="5067300" cy="918669"/>
                          </a:xfrm>
                          <a:prstGeom prst="rect">
                            <a:avLst/>
                          </a:prstGeom>
                          <a:noFill/>
                          <a:ln w="9525">
                            <a:noFill/>
                            <a:headEnd/>
                            <a:tailEnd/>
                          </a:ln>
                        </pic:spPr>
                      </pic:pic>
                    </a:graphicData>
                  </a:graphic>
                </wp:inline>
              </w:drawing>
            </w:r>
          </w:p>
          <w:p>
            <w:pPr>
              <w:jc w:val="center"/>
            </w:pPr>
            <w:pPr>
              <w:jc w:val="left"/>
              <w:spacing w:before="200"/>
              <w:pStyle w:val="ImageCaption"/>
            </w:pPr>
            <w:r>
              <w:t xml:space="preserve">Figura 3: Flujo metodológico del proyecto: seis fases secuenciales con validación cruzada entre Python, R y Julia, todas ejecutadas dentro de un contenedor Docker que garantiza la reproducibilidad bit a bit de cada análisis.</w:t>
            </w:r>
          </w:p>
          <w:bookmarkEnd w:id="52"/>
        </w:tc>
      </w:tr>
    </w:tbl>
    <w:p>
      <w:pPr>
        <w:pStyle w:val="BodyText"/>
      </w:pPr>
      <w:r>
        <w:t xml:space="preserve">A nivel operativo, el siguiente cuadro detalla cada paso del flujo con la herramienta concreta, el lenguaje en que se ejecuta, la entrada que consume y la salida que produce:</w:t>
      </w:r>
    </w:p>
    <w:tbl>
      <w:tblPr>
        <w:tblStyle w:val="Table"/>
        <w:tblW w:type="pct" w:w="5000"/>
        <w:tblLayout w:type="fixed"/>
        <w:tblLook w:firstRow="0" w:lastRow="0" w:firstColumn="0" w:lastColumn="0" w:noHBand="0" w:noVBand="0" w:val="0000"/>
      </w:tblPr>
      <w:tblGrid>
        <w:gridCol w:w="7920"/>
      </w:tblGrid>
      <w:tr>
        <w:tc>
          <w:tcPr/>
          <w:bookmarkStart w:id="53" w:name="tbl-flujo"/>
          <w:p>
            <w:pPr>
              <w:jc w:val="center"/>
            </w:pPr>
            <w:pPr>
              <w:jc w:val="left"/>
              <w:spacing w:before="200"/>
              <w:pStyle w:val="ImageCaption"/>
            </w:pPr>
            <w:r>
              <w:t xml:space="preserve">Tabla 4: Flujo de datos del pipeline multilenguaje.</w:t>
            </w:r>
          </w:p>
          <w:tbl>
            <w:tblPr>
              <w:tblStyle w:val="Table"/>
              <w:tblW w:type="pct" w:w="5000"/>
              <w:tblLayout w:type="fixed"/>
              <w:tblLook w:firstRow="1" w:lastRow="0" w:firstColumn="0" w:lastColumn="0" w:noHBand="0" w:noVBand="0" w:val="0020"/>
            </w:tblPr>
            <w:tblGrid>
              <w:gridCol w:w="1425"/>
              <w:gridCol w:w="1425"/>
              <w:gridCol w:w="1108"/>
              <w:gridCol w:w="1900"/>
              <w:gridCol w:w="2059"/>
            </w:tblGrid>
            <w:tr>
              <w:trPr>
                <w:tblHeader w:val="on"/>
              </w:trPr>
              <w:tc>
                <w:tcPr/>
                <w:p>
                  <w:pPr>
                    <w:pStyle w:val="Compact"/>
                    <w:jc w:val="center"/>
                  </w:pPr>
                  <w:r>
                    <w:t xml:space="preserve">Paso</w:t>
                  </w:r>
                </w:p>
              </w:tc>
              <w:tc>
                <w:tcPr/>
                <w:p>
                  <w:pPr>
                    <w:pStyle w:val="Compact"/>
                    <w:jc w:val="center"/>
                  </w:pPr>
                  <w:r>
                    <w:t xml:space="preserve">Herramienta</w:t>
                  </w:r>
                </w:p>
              </w:tc>
              <w:tc>
                <w:tcPr/>
                <w:p>
                  <w:pPr>
                    <w:pStyle w:val="Compact"/>
                    <w:jc w:val="center"/>
                  </w:pPr>
                  <w:r>
                    <w:t xml:space="preserve">Lenguaje</w:t>
                  </w:r>
                </w:p>
              </w:tc>
              <w:tc>
                <w:tcPr/>
                <w:p>
                  <w:pPr>
                    <w:pStyle w:val="Compact"/>
                    <w:jc w:val="center"/>
                  </w:pPr>
                  <w:r>
                    <w:t xml:space="preserve">Entrada</w:t>
                  </w:r>
                </w:p>
              </w:tc>
              <w:tc>
                <w:tcPr/>
                <w:p>
                  <w:pPr>
                    <w:pStyle w:val="Compact"/>
                    <w:jc w:val="center"/>
                  </w:pPr>
                  <w:r>
                    <w:t xml:space="preserve">Salida</w:t>
                  </w:r>
                </w:p>
              </w:tc>
            </w:tr>
            <w:tr>
              <w:tc>
                <w:tcPr/>
                <w:p>
                  <w:pPr>
                    <w:pStyle w:val="Compact"/>
                    <w:jc w:val="center"/>
                  </w:pPr>
                  <w:r>
                    <w:t xml:space="preserve">1. Adquisición</w:t>
                  </w:r>
                </w:p>
              </w:tc>
              <w:tc>
                <w:tcPr/>
                <w:p>
                  <w:pPr>
                    <w:pStyle w:val="Compact"/>
                    <w:jc w:val="center"/>
                  </w:pPr>
                  <w:r>
                    <w:t xml:space="preserve">GEE + geemap</w:t>
                  </w:r>
                </w:p>
              </w:tc>
              <w:tc>
                <w:tcPr/>
                <w:p>
                  <w:pPr>
                    <w:pStyle w:val="Compact"/>
                    <w:jc w:val="center"/>
                  </w:pPr>
                  <w:r>
                    <w:t xml:space="preserve">Python</w:t>
                  </w:r>
                </w:p>
              </w:tc>
              <w:tc>
                <w:tcPr/>
                <w:p>
                  <w:pPr>
                    <w:pStyle w:val="Compact"/>
                    <w:jc w:val="center"/>
                  </w:pPr>
                  <w:r>
                    <w:t xml:space="preserve">Sentinel-2 / Landsat</w:t>
                  </w:r>
                </w:p>
              </w:tc>
              <w:tc>
                <w:tcPr/>
                <w:p>
                  <w:pPr>
                    <w:pStyle w:val="Compact"/>
                    <w:jc w:val="center"/>
                  </w:pPr>
                  <w:r>
                    <w:t xml:space="preserve">Stacks de índices (.tif)</w:t>
                  </w:r>
                </w:p>
              </w:tc>
            </w:tr>
            <w:tr>
              <w:tc>
                <w:tcPr/>
                <w:p>
                  <w:pPr>
                    <w:pStyle w:val="Compact"/>
                    <w:jc w:val="center"/>
                  </w:pPr>
                  <w:r>
                    <w:t xml:space="preserve">2. Series de tiempo</w:t>
                  </w:r>
                </w:p>
              </w:tc>
              <w:tc>
                <w:tcPr/>
                <w:p>
                  <w:pPr>
                    <w:pStyle w:val="Compact"/>
                    <w:jc w:val="center"/>
                  </w:pPr>
                  <w:r>
                    <w:t xml:space="preserve">pandas + bfast</w:t>
                  </w:r>
                </w:p>
              </w:tc>
              <w:tc>
                <w:tcPr/>
                <w:p>
                  <w:pPr>
                    <w:pStyle w:val="Compact"/>
                    <w:jc w:val="center"/>
                  </w:pPr>
                  <w:r>
                    <w:t xml:space="preserve">Python / R</w:t>
                  </w:r>
                </w:p>
              </w:tc>
              <w:tc>
                <w:tcPr/>
                <w:p>
                  <w:pPr>
                    <w:pStyle w:val="Compact"/>
                    <w:jc w:val="center"/>
                  </w:pPr>
                  <w:r>
                    <w:t xml:space="preserve">Indices + estaciones</w:t>
                  </w:r>
                </w:p>
              </w:tc>
              <w:tc>
                <w:tcPr/>
                <w:p>
                  <w:pPr>
                    <w:pStyle w:val="Compact"/>
                    <w:jc w:val="center"/>
                  </w:pPr>
                  <w:r>
                    <w:t xml:space="preserve">Z-scores, periodos (.csv)</w:t>
                  </w:r>
                </w:p>
              </w:tc>
            </w:tr>
            <w:tr>
              <w:tc>
                <w:tcPr/>
                <w:p>
                  <w:pPr>
                    <w:pStyle w:val="Compact"/>
                    <w:jc w:val="center"/>
                  </w:pPr>
                  <w:r>
                    <w:t xml:space="preserve">3. Segmentación</w:t>
                  </w:r>
                </w:p>
              </w:tc>
              <w:tc>
                <w:tcPr/>
                <w:p>
                  <w:pPr>
                    <w:pStyle w:val="Compact"/>
                    <w:jc w:val="center"/>
                  </w:pPr>
                  <w:r>
                    <w:t xml:space="preserve">SamGeo + umbrales</w:t>
                  </w:r>
                </w:p>
              </w:tc>
              <w:tc>
                <w:tcPr/>
                <w:p>
                  <w:pPr>
                    <w:pStyle w:val="Compact"/>
                    <w:jc w:val="center"/>
                  </w:pPr>
                  <w:r>
                    <w:t xml:space="preserve">Python</w:t>
                  </w:r>
                </w:p>
              </w:tc>
              <w:tc>
                <w:tcPr/>
                <w:p>
                  <w:pPr>
                    <w:pStyle w:val="Compact"/>
                    <w:jc w:val="center"/>
                  </w:pPr>
                  <w:r>
                    <w:t xml:space="preserve">Composites RGB</w:t>
                  </w:r>
                </w:p>
              </w:tc>
              <w:tc>
                <w:tcPr/>
                <w:p>
                  <w:pPr>
                    <w:pStyle w:val="Compact"/>
                    <w:jc w:val="center"/>
                  </w:pPr>
                  <w:r>
                    <w:t xml:space="preserve">Parches manglar (.geojson)</w:t>
                  </w:r>
                </w:p>
              </w:tc>
            </w:tr>
            <w:tr>
              <w:tc>
                <w:tcPr/>
                <w:p>
                  <w:pPr>
                    <w:pStyle w:val="Compact"/>
                    <w:jc w:val="center"/>
                  </w:pPr>
                  <w:r>
                    <w:t xml:space="preserve">4. Métricas</w:t>
                  </w:r>
                </w:p>
              </w:tc>
              <w:tc>
                <w:tcPr/>
                <w:p>
                  <w:pPr>
                    <w:pStyle w:val="Compact"/>
                    <w:jc w:val="center"/>
                  </w:pPr>
                  <w:r>
                    <w:t xml:space="preserve">DataFrames.jl</w:t>
                  </w:r>
                </w:p>
              </w:tc>
              <w:tc>
                <w:tcPr/>
                <w:p>
                  <w:pPr>
                    <w:pStyle w:val="Compact"/>
                    <w:jc w:val="center"/>
                  </w:pPr>
                  <w:r>
                    <w:t xml:space="preserve">Julia</w:t>
                  </w:r>
                </w:p>
              </w:tc>
              <w:tc>
                <w:tcPr/>
                <w:p>
                  <w:pPr>
                    <w:pStyle w:val="Compact"/>
                    <w:jc w:val="center"/>
                  </w:pPr>
                  <w:r>
                    <w:t xml:space="preserve">Parches vectoriales</w:t>
                  </w:r>
                </w:p>
              </w:tc>
              <w:tc>
                <w:tcPr/>
                <w:p>
                  <w:pPr>
                    <w:pStyle w:val="Compact"/>
                    <w:jc w:val="center"/>
                  </w:pPr>
                  <w:r>
                    <w:t xml:space="preserve">Tabla de métricas (.csv)</w:t>
                  </w:r>
                </w:p>
              </w:tc>
            </w:tr>
            <w:tr>
              <w:tc>
                <w:tcPr/>
                <w:p>
                  <w:pPr>
                    <w:pStyle w:val="Compact"/>
                    <w:jc w:val="center"/>
                  </w:pPr>
                  <w:r>
                    <w:t xml:space="preserve">4b. Topologia DE-9IM</w:t>
                  </w:r>
                </w:p>
              </w:tc>
              <w:tc>
                <w:tcPr/>
                <w:p>
                  <w:pPr>
                    <w:pStyle w:val="Compact"/>
                    <w:jc w:val="center"/>
                  </w:pPr>
                  <w:r>
                    <w:t xml:space="preserve">geopandas + shapely</w:t>
                  </w:r>
                </w:p>
              </w:tc>
              <w:tc>
                <w:tcPr/>
                <w:p>
                  <w:pPr>
                    <w:pStyle w:val="Compact"/>
                    <w:jc w:val="center"/>
                  </w:pPr>
                  <w:r>
                    <w:t xml:space="preserve">Python</w:t>
                  </w:r>
                </w:p>
              </w:tc>
              <w:tc>
                <w:tcPr/>
                <w:p>
                  <w:pPr>
                    <w:pStyle w:val="Compact"/>
                    <w:jc w:val="center"/>
                  </w:pPr>
                  <w:r>
                    <w:t xml:space="preserve">Parches en EPSG:9377</w:t>
                  </w:r>
                </w:p>
              </w:tc>
              <w:tc>
                <w:tcPr/>
                <w:p>
                  <w:pPr>
                    <w:pStyle w:val="Compact"/>
                    <w:jc w:val="center"/>
                  </w:pPr>
                  <w:r>
                    <w:t xml:space="preserve">Tabla parches_topologia (.csv)</w:t>
                  </w:r>
                </w:p>
              </w:tc>
            </w:tr>
            <w:tr>
              <w:tc>
                <w:tcPr/>
                <w:p>
                  <w:pPr>
                    <w:pStyle w:val="Compact"/>
                    <w:jc w:val="center"/>
                  </w:pPr>
                  <w:r>
                    <w:t xml:space="preserve">5. Inundacion SAR</w:t>
                  </w:r>
                </w:p>
              </w:tc>
              <w:tc>
                <w:tcPr/>
                <w:p>
                  <w:pPr>
                    <w:pStyle w:val="Compact"/>
                    <w:jc w:val="center"/>
                  </w:pPr>
                  <w:r>
                    <w:t xml:space="preserve">GEE Sentinel-1</w:t>
                  </w:r>
                </w:p>
              </w:tc>
              <w:tc>
                <w:tcPr/>
                <w:p>
                  <w:pPr>
                    <w:pStyle w:val="Compact"/>
                    <w:jc w:val="center"/>
                  </w:pPr>
                  <w:r>
                    <w:t xml:space="preserve">Python</w:t>
                  </w:r>
                </w:p>
              </w:tc>
              <w:tc>
                <w:tcPr/>
                <w:p>
                  <w:pPr>
                    <w:pStyle w:val="Compact"/>
                    <w:jc w:val="center"/>
                  </w:pPr>
                  <w:r>
                    <w:t xml:space="preserve">SAR VH seco vs humedo</w:t>
                  </w:r>
                </w:p>
              </w:tc>
              <w:tc>
                <w:tcPr/>
                <w:p>
                  <w:pPr>
                    <w:pStyle w:val="Compact"/>
                    <w:jc w:val="center"/>
                  </w:pPr>
                  <w:r>
                    <w:t xml:space="preserve">Mapa inundación (.tif)</w:t>
                  </w:r>
                </w:p>
              </w:tc>
            </w:tr>
            <w:tr>
              <w:tc>
                <w:tcPr/>
                <w:p>
                  <w:pPr>
                    <w:pStyle w:val="Compact"/>
                    <w:jc w:val="center"/>
                  </w:pPr>
                  <w:r>
                    <w:t xml:space="preserve">6. Dashboard</w:t>
                  </w:r>
                </w:p>
              </w:tc>
              <w:tc>
                <w:tcPr/>
                <w:p>
                  <w:pPr>
                    <w:pStyle w:val="Compact"/>
                    <w:jc w:val="center"/>
                  </w:pPr>
                  <w:r>
                    <w:t xml:space="preserve">geemap</w:t>
                  </w:r>
                </w:p>
              </w:tc>
              <w:tc>
                <w:tcPr/>
                <w:p>
                  <w:pPr>
                    <w:pStyle w:val="Compact"/>
                    <w:jc w:val="center"/>
                  </w:pPr>
                  <w:r>
                    <w:t xml:space="preserve">Python</w:t>
                  </w:r>
                </w:p>
              </w:tc>
              <w:tc>
                <w:tcPr/>
                <w:p>
                  <w:pPr>
                    <w:pStyle w:val="Compact"/>
                    <w:jc w:val="center"/>
                  </w:pPr>
                  <w:r>
                    <w:t xml:space="preserve">Todas las capas</w:t>
                  </w:r>
                </w:p>
              </w:tc>
              <w:tc>
                <w:tcPr/>
                <w:p>
                  <w:pPr>
                    <w:pStyle w:val="Compact"/>
                    <w:jc w:val="center"/>
                  </w:pPr>
                  <w:r>
                    <w:t xml:space="preserve">Dashboard (.html)</w:t>
                  </w:r>
                </w:p>
              </w:tc>
            </w:tr>
            <w:tr>
              <w:tc>
                <w:tcPr/>
                <w:p>
                  <w:pPr>
                    <w:pStyle w:val="Compact"/>
                    <w:jc w:val="center"/>
                  </w:pPr>
                  <w:r>
                    <w:t xml:space="preserve">7. Forzamiento ERA5</w:t>
                  </w:r>
                </w:p>
              </w:tc>
              <w:tc>
                <w:tcPr/>
                <w:p>
                  <w:pPr>
                    <w:pStyle w:val="Compact"/>
                    <w:jc w:val="center"/>
                  </w:pPr>
                  <w:r>
                    <w:t xml:space="preserve">cdsapi + xarray</w:t>
                  </w:r>
                </w:p>
              </w:tc>
              <w:tc>
                <w:tcPr/>
                <w:p>
                  <w:pPr>
                    <w:pStyle w:val="Compact"/>
                    <w:jc w:val="center"/>
                  </w:pPr>
                  <w:r>
                    <w:t xml:space="preserve">Python</w:t>
                  </w:r>
                </w:p>
              </w:tc>
              <w:tc>
                <w:tcPr/>
                <w:p>
                  <w:pPr>
                    <w:pStyle w:val="Compact"/>
                    <w:jc w:val="center"/>
                  </w:pPr>
                  <w:r>
                    <w:t xml:space="preserve">NetCDF ERA5-Land</w:t>
                  </w:r>
                </w:p>
              </w:tc>
              <w:tc>
                <w:tcPr/>
                <w:p>
                  <w:pPr>
                    <w:pStyle w:val="Compact"/>
                    <w:jc w:val="center"/>
                  </w:pPr>
                  <w:r>
                    <w:t xml:space="preserve">Anomalias y correlación (.csv)</w:t>
                  </w:r>
                </w:p>
              </w:tc>
            </w:tr>
            <w:tr>
              <w:tc>
                <w:tcPr/>
                <w:p>
                  <w:pPr>
                    <w:pStyle w:val="Compact"/>
                    <w:jc w:val="center"/>
                  </w:pPr>
                  <w:r>
                    <w:t xml:space="preserve">8. Cubo stars</w:t>
                  </w:r>
                </w:p>
              </w:tc>
              <w:tc>
                <w:tcPr/>
                <w:p>
                  <w:pPr>
                    <w:pStyle w:val="Compact"/>
                    <w:jc w:val="center"/>
                  </w:pPr>
                  <w:r>
                    <w:t xml:space="preserve">stars + sf</w:t>
                  </w:r>
                </w:p>
              </w:tc>
              <w:tc>
                <w:tcPr/>
                <w:p>
                  <w:pPr>
                    <w:pStyle w:val="Compact"/>
                    <w:jc w:val="center"/>
                  </w:pPr>
                  <w:r>
                    <w:t xml:space="preserve">R</w:t>
                  </w:r>
                </w:p>
              </w:tc>
              <w:tc>
                <w:tcPr/>
                <w:p>
                  <w:pPr>
                    <w:pStyle w:val="Compact"/>
                    <w:jc w:val="center"/>
                  </w:pPr>
                  <w:r>
                    <w:t xml:space="preserve">TIFs trimestrales S2</w:t>
                  </w:r>
                </w:p>
              </w:tc>
              <w:tc>
                <w:tcPr/>
                <w:p>
                  <w:pPr>
                    <w:pStyle w:val="Compact"/>
                    <w:jc w:val="center"/>
                  </w:pPr>
                  <w:r>
                    <w:t xml:space="preserve">Series por estación (.csv)</w:t>
                  </w:r>
                </w:p>
              </w:tc>
            </w:tr>
            <w:tr>
              <w:tc>
                <w:tcPr/>
                <w:p>
                  <w:pPr>
                    <w:pStyle w:val="Compact"/>
                    <w:jc w:val="center"/>
                  </w:pPr>
                  <w:r>
                    <w:t xml:space="preserve">9. Validación multilingue</w:t>
                  </w:r>
                </w:p>
              </w:tc>
              <w:tc>
                <w:tcPr/>
                <w:p>
                  <w:pPr>
                    <w:pStyle w:val="Compact"/>
                    <w:jc w:val="center"/>
                  </w:pPr>
                  <w:r>
                    <w:t xml:space="preserve">pandas</w:t>
                  </w:r>
                </w:p>
              </w:tc>
              <w:tc>
                <w:tcPr/>
                <w:p>
                  <w:pPr>
                    <w:pStyle w:val="Compact"/>
                    <w:jc w:val="center"/>
                  </w:pPr>
                  <w:r>
                    <w:t xml:space="preserve">Python</w:t>
                  </w:r>
                </w:p>
              </w:tc>
              <w:tc>
                <w:tcPr/>
                <w:p>
                  <w:pPr>
                    <w:pStyle w:val="Compact"/>
                    <w:jc w:val="center"/>
                  </w:pPr>
                  <w:r>
                    <w:t xml:space="preserve">Series Python + R</w:t>
                  </w:r>
                </w:p>
              </w:tc>
              <w:tc>
                <w:tcPr/>
                <w:p>
                  <w:pPr>
                    <w:pStyle w:val="Compact"/>
                    <w:jc w:val="center"/>
                  </w:pPr>
                  <w:r>
                    <w:t xml:space="preserve">RMSE/rho (.csv)</w:t>
                  </w:r>
                </w:p>
              </w:tc>
            </w:tr>
            <w:tr>
              <w:tc>
                <w:tcPr/>
                <w:p>
                  <w:pPr>
                    <w:pStyle w:val="Compact"/>
                    <w:jc w:val="center"/>
                  </w:pPr>
                  <w:r>
                    <w:t xml:space="preserve">10. RF benchmark</w:t>
                  </w:r>
                </w:p>
              </w:tc>
              <w:tc>
                <w:tcPr/>
                <w:p>
                  <w:pPr>
                    <w:pStyle w:val="Compact"/>
                    <w:jc w:val="center"/>
                  </w:pPr>
                  <w:r>
                    <w:t xml:space="preserve">GEE</w:t>
                  </w:r>
                  <w:r>
                    <w:t xml:space="preserve"> </w:t>
                  </w:r>
                  <w:r>
                    <w:rPr>
                      <w:rStyle w:val="VerbatimChar"/>
                    </w:rPr>
                    <w:t xml:space="preserve">smileRandomForest</w:t>
                  </w:r>
                </w:p>
              </w:tc>
              <w:tc>
                <w:tcPr/>
                <w:p>
                  <w:pPr>
                    <w:pStyle w:val="Compact"/>
                    <w:jc w:val="center"/>
                  </w:pPr>
                  <w:r>
                    <w:t xml:space="preserve">Python</w:t>
                  </w:r>
                </w:p>
              </w:tc>
              <w:tc>
                <w:tcPr/>
                <w:p>
                  <w:pPr>
                    <w:pStyle w:val="Compact"/>
                    <w:jc w:val="center"/>
                  </w:pPr>
                  <w:r>
                    <w:t xml:space="preserve">Sentinel-2 + INVEMAR / WorldCover</w:t>
                  </w:r>
                </w:p>
              </w:tc>
              <w:tc>
                <w:tcPr/>
                <w:p>
                  <w:pPr>
                    <w:pStyle w:val="Compact"/>
                    <w:jc w:val="center"/>
                  </w:pPr>
                  <w:r>
                    <w:t xml:space="preserve">F1, Recall, Precisión (.csv), importancia de variables (.png)</w:t>
                  </w:r>
                </w:p>
              </w:tc>
            </w:tr>
            <w:tr>
              <w:tc>
                <w:tcPr/>
                <w:p>
                  <w:pPr>
                    <w:pStyle w:val="Compact"/>
                    <w:jc w:val="center"/>
                  </w:pPr>
                  <w:r>
                    <w:t xml:space="preserve">11. SAR continuo VH</w:t>
                  </w:r>
                </w:p>
              </w:tc>
              <w:tc>
                <w:tcPr/>
                <w:p>
                  <w:pPr>
                    <w:pStyle w:val="Compact"/>
                    <w:jc w:val="center"/>
                  </w:pPr>
                  <w:r>
                    <w:t xml:space="preserve">GEE Sentinel-1 + pandas</w:t>
                  </w:r>
                </w:p>
              </w:tc>
              <w:tc>
                <w:tcPr/>
                <w:p>
                  <w:pPr>
                    <w:pStyle w:val="Compact"/>
                    <w:jc w:val="center"/>
                  </w:pPr>
                  <w:r>
                    <w:t xml:space="preserve">Python</w:t>
                  </w:r>
                </w:p>
              </w:tc>
              <w:tc>
                <w:tcPr/>
                <w:p>
                  <w:pPr>
                    <w:pStyle w:val="Compact"/>
                    <w:jc w:val="center"/>
                  </w:pPr>
                  <w:r>
                    <w:t xml:space="preserve">Sentinel-1 GRD 2018–2025</w:t>
                  </w:r>
                </w:p>
              </w:tc>
              <w:tc>
                <w:tcPr/>
                <w:p>
                  <w:pPr>
                    <w:pStyle w:val="Compact"/>
                    <w:jc w:val="center"/>
                  </w:pPr>
                  <w:r>
                    <w:t xml:space="preserve">Serie SAR-VH mensual, correlación con NDVI (.csv)</w:t>
                  </w:r>
                </w:p>
              </w:tc>
            </w:tr>
            <w:tr>
              <w:tc>
                <w:tcPr/>
                <w:p>
                  <w:pPr>
                    <w:pStyle w:val="Compact"/>
                    <w:jc w:val="center"/>
                  </w:pPr>
                  <w:r>
                    <w:t xml:space="preserve">12. Alertas tempranas</w:t>
                  </w:r>
                </w:p>
              </w:tc>
              <w:tc>
                <w:tcPr/>
                <w:p>
                  <w:pPr>
                    <w:pStyle w:val="Compact"/>
                    <w:jc w:val="center"/>
                  </w:pPr>
                  <w:r>
                    <w:t xml:space="preserve">pandas + matplotlib</w:t>
                  </w:r>
                </w:p>
              </w:tc>
              <w:tc>
                <w:tcPr/>
                <w:p>
                  <w:pPr>
                    <w:pStyle w:val="Compact"/>
                    <w:jc w:val="center"/>
                  </w:pPr>
                  <w:r>
                    <w:t xml:space="preserve">Python</w:t>
                  </w:r>
                </w:p>
              </w:tc>
              <w:tc>
                <w:tcPr/>
                <w:p>
                  <w:pPr>
                    <w:pStyle w:val="Compact"/>
                    <w:jc w:val="center"/>
                  </w:pPr>
                  <w:r>
                    <w:t xml:space="preserve">Series NDVI + SAR + bfast</w:t>
                  </w:r>
                </w:p>
              </w:tc>
              <w:tc>
                <w:tcPr/>
                <w:p>
                  <w:pPr>
                    <w:pStyle w:val="Compact"/>
                    <w:jc w:val="center"/>
                  </w:pPr>
                  <w:r>
                    <w:t xml:space="preserve">Semaforo estaciones (.csv) y mapa (.png)</w:t>
                  </w:r>
                </w:p>
              </w:tc>
            </w:tr>
          </w:tbl>
          <w:bookmarkEnd w:id="53"/>
          <w:p/>
        </w:tc>
      </w:tr>
    </w:tbl>
    <w:bookmarkEnd w:id="54"/>
    <w:bookmarkStart w:id="56" w:name="entorno-de-ejecución"/>
    <w:p>
      <w:pPr>
        <w:pStyle w:val="Heading2"/>
      </w:pPr>
      <w:r>
        <w:t xml:space="preserve">8.10 Entorno de ejecución</w:t>
      </w:r>
    </w:p>
    <w:tbl>
      <w:tblPr>
        <w:tblStyle w:val="Table"/>
        <w:tblW w:type="pct" w:w="5000"/>
        <w:tblLayout w:type="fixed"/>
        <w:tblLook w:firstRow="0" w:lastRow="0" w:firstColumn="0" w:lastColumn="0" w:noHBand="0" w:noVBand="0" w:val="0000"/>
      </w:tblPr>
      <w:tblGrid>
        <w:gridCol w:w="7920"/>
      </w:tblGrid>
      <w:tr>
        <w:tc>
          <w:tcPr/>
          <w:bookmarkStart w:id="55" w:name="tbl-entorno"/>
          <w:p>
            <w:pPr>
              <w:jc w:val="center"/>
            </w:pPr>
            <w:pPr>
              <w:jc w:val="left"/>
              <w:spacing w:before="200"/>
              <w:pStyle w:val="ImageCaption"/>
            </w:pPr>
            <w:r>
              <w:t xml:space="preserve">Tabla 5: Entorno de ejecución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Componente</w:t>
                  </w:r>
                </w:p>
              </w:tc>
              <w:tc>
                <w:tcPr/>
                <w:p>
                  <w:pPr>
                    <w:pStyle w:val="Compact"/>
                    <w:jc w:val="center"/>
                  </w:pPr>
                  <w:r>
                    <w:t xml:space="preserve">Especificacion</w:t>
                  </w:r>
                </w:p>
              </w:tc>
            </w:tr>
            <w:tr>
              <w:tc>
                <w:tcPr/>
                <w:p>
                  <w:pPr>
                    <w:pStyle w:val="Compact"/>
                    <w:jc w:val="center"/>
                  </w:pPr>
                  <w:r>
                    <w:t xml:space="preserve">Contenedor</w:t>
                  </w:r>
                </w:p>
              </w:tc>
              <w:tc>
                <w:tcPr/>
                <w:p>
                  <w:pPr>
                    <w:pStyle w:val="Compact"/>
                    <w:jc w:val="center"/>
                  </w:pPr>
                  <w:r>
                    <w:t xml:space="preserve">Docker sig_unal v1.11 (Ubuntu + RStudio Server)</w:t>
                  </w:r>
                </w:p>
              </w:tc>
            </w:tr>
            <w:tr>
              <w:tc>
                <w:tcPr/>
                <w:p>
                  <w:pPr>
                    <w:pStyle w:val="Compact"/>
                    <w:jc w:val="center"/>
                  </w:pPr>
                  <w:r>
                    <w:t xml:space="preserve">Python</w:t>
                  </w:r>
                </w:p>
              </w:tc>
              <w:tc>
                <w:tcPr/>
                <w:p>
                  <w:pPr>
                    <w:pStyle w:val="Compact"/>
                    <w:jc w:val="center"/>
                  </w:pPr>
                  <w:r>
                    <w:t xml:space="preserve">3.12.3 + geemap, samgeo, leafmap, rasterio, geopandas</w:t>
                  </w:r>
                </w:p>
              </w:tc>
            </w:tr>
            <w:tr>
              <w:tc>
                <w:tcPr/>
                <w:p>
                  <w:pPr>
                    <w:pStyle w:val="Compact"/>
                    <w:jc w:val="center"/>
                  </w:pPr>
                  <w:r>
                    <w:t xml:space="preserve">R</w:t>
                  </w:r>
                </w:p>
              </w:tc>
              <w:tc>
                <w:tcPr/>
                <w:p>
                  <w:pPr>
                    <w:pStyle w:val="Compact"/>
                    <w:jc w:val="center"/>
                  </w:pPr>
                  <w:r>
                    <w:t xml:space="preserve">4.3.3 + terra, sf, tidyverse, bfast, tmap</w:t>
                  </w:r>
                </w:p>
              </w:tc>
            </w:tr>
            <w:tr>
              <w:tc>
                <w:tcPr/>
                <w:p>
                  <w:pPr>
                    <w:pStyle w:val="Compact"/>
                    <w:jc w:val="center"/>
                  </w:pPr>
                  <w:r>
                    <w:t xml:space="preserve">Julia</w:t>
                  </w:r>
                </w:p>
              </w:tc>
              <w:tc>
                <w:tcPr/>
                <w:p>
                  <w:pPr>
                    <w:pStyle w:val="Compact"/>
                    <w:jc w:val="center"/>
                  </w:pPr>
                  <w:r>
                    <w:t xml:space="preserve">1.11.3 + DataFrames, CSV, GeoJSON, Statistics</w:t>
                  </w:r>
                </w:p>
              </w:tc>
            </w:tr>
            <w:tr>
              <w:tc>
                <w:tcPr/>
                <w:p>
                  <w:pPr>
                    <w:pStyle w:val="Compact"/>
                    <w:jc w:val="center"/>
                  </w:pPr>
                  <w:r>
                    <w:t xml:space="preserve">Quarto</w:t>
                  </w:r>
                </w:p>
              </w:tc>
              <w:tc>
                <w:tcPr/>
                <w:p>
                  <w:pPr>
                    <w:pStyle w:val="Compact"/>
                    <w:jc w:val="center"/>
                  </w:pPr>
                  <w:r>
                    <w:t xml:space="preserve">1.4.550 (informe reproducible)</w:t>
                  </w:r>
                </w:p>
              </w:tc>
            </w:tr>
            <w:tr>
              <w:tc>
                <w:tcPr/>
                <w:p>
                  <w:pPr>
                    <w:pStyle w:val="Compact"/>
                    <w:jc w:val="center"/>
                  </w:pPr>
                  <w:r>
                    <w:t xml:space="preserve">Control de versiones</w:t>
                  </w:r>
                </w:p>
              </w:tc>
              <w:tc>
                <w:tcPr/>
                <w:p>
                  <w:pPr>
                    <w:pStyle w:val="Compact"/>
                    <w:jc w:val="center"/>
                  </w:pPr>
                  <w:r>
                    <w:t xml:space="preserve">Git + GitHub</w:t>
                  </w:r>
                </w:p>
              </w:tc>
            </w:tr>
            <w:tr>
              <w:tc>
                <w:tcPr/>
                <w:p>
                  <w:pPr>
                    <w:pStyle w:val="Compact"/>
                    <w:jc w:val="center"/>
                  </w:pPr>
                  <w:r>
                    <w:t xml:space="preserve">Geocomputacion en la nube</w:t>
                  </w:r>
                </w:p>
              </w:tc>
              <w:tc>
                <w:tcPr/>
                <w:p>
                  <w:pPr>
                    <w:pStyle w:val="Compact"/>
                    <w:jc w:val="center"/>
                  </w:pPr>
                  <w:r>
                    <w:t xml:space="preserve">Google Earth Engine (API Python)</w:t>
                  </w:r>
                </w:p>
              </w:tc>
            </w:tr>
          </w:tbl>
          <w:bookmarkEnd w:id="55"/>
          <w:p/>
        </w:tc>
      </w:tr>
    </w:tbl>
    <w:bookmarkEnd w:id="56"/>
    <w:bookmarkEnd w:id="57"/>
    <w:bookmarkStart w:id="134" w:name="resultados-y-discusión"/>
    <w:p>
      <w:pPr>
        <w:pStyle w:val="Heading1"/>
      </w:pPr>
      <w:r>
        <w:t xml:space="preserve">9. Resultados y discusión</w:t>
      </w:r>
    </w:p>
    <w:bookmarkStart w:id="63" w:name="X07dd460b134645390ee5afe9993fe279525b482"/>
    <w:p>
      <w:pPr>
        <w:pStyle w:val="Heading2"/>
      </w:pPr>
      <w:r>
        <w:t xml:space="preserve">9.1 Series temporales de NDVI y detección de anomalias</w:t>
      </w:r>
    </w:p>
    <w:p>
      <w:pPr>
        <w:pStyle w:val="FirstParagraph"/>
      </w:pPr>
      <w:r>
        <w:t xml:space="preserve">El análisis de series temporales de NDVI para las 8 estaciones de monitoreo revelo 18 anomalias significativas (z &lt; -2) durante el periodo 2013–2025. El evento de septiembre de 2020 se identifico como la perturbacion de mayor magnitud, con valores negativos de NDVI en Punta Cerro (-0,078; z = -2,46) e Isla Boqueron (-0,018; z = -3,36), coincidente con el inicio de La Niña 2020–2021 que provoco inundaciónes prolongadas en el sistema lagunar. Un segundo cluster de anomalias se concentro en marzo de 2018, afectando las estaciones occidentales —Caño Clarín (0,166; z = -3,15) y CP Aguas Negras (0,203; z = -2,50)—, probablemente asociado a condiciones de hipersalinización en epoca seca. La extensión de la serie con Landsat 8 revelo 4 anomalias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mostro la menor (std = 0,078), lo cual es consistente con su ubicacion protegida en el borde suroriental del sistema. Con base en estos hallazgos se seleccionaron tres periodos de referencia para la segmentación: degradación (julio–diciembre 2020), recuperación (enero–junio 2022) y estado actual (julio 2024 a junio 2025). La definicion de estos tres bloques temporales obedece a una lógica de muestreo de estados estables del sistema antes que a una serie continua: cada periodo cubre una ventana de seis a doce meses elegida para representar una fase fenológica caracteristica posterior a la disipacion de la perturbacion prevía, de modo que el composite resultante refleja un estado estructural y no un transitorio. El periodo</w:t>
      </w:r>
      <w:r>
        <w:t xml:space="preserve"> </w:t>
      </w:r>
      <w:r>
        <w:t xml:space="preserve">“actual”</w:t>
      </w:r>
      <w:r>
        <w:t xml:space="preserve"> </w:t>
      </w:r>
      <w:r>
        <w:t xml:space="preserve">cubre un unico año hidrológico (julio 2024 a junio 2025) en lugar de un horizonte más amplio porque la ventana se selecciono para capturar el estado vigente del sistema al cierre del proyecto sin contaminar el composite con eventos La Niña 2023–2024 que afectaron parcialmente al Caribe colombiano; en consecuencia, los resultados sobre este periodo deben interpretarse como un snapshot del estado actual y no como una tendencia anualizada, coherente con la lógica de Bunting et al. (2022), quienes trabajan con épocas discretas y no con series temporales continuas para reportar extensión de manglar.</w:t>
      </w:r>
    </w:p>
    <w:tbl>
      <w:tblPr>
        <w:tblStyle w:val="Table"/>
        <w:tblW w:type="pct" w:w="5000"/>
        <w:tblLayout w:type="fixed"/>
        <w:tblLook w:firstRow="0" w:lastRow="0" w:firstColumn="0" w:lastColumn="0" w:noHBand="0" w:noVBand="0" w:val="0000"/>
      </w:tblPr>
      <w:tblGrid>
        <w:gridCol w:w="7920"/>
      </w:tblGrid>
      <w:tr>
        <w:tc>
          <w:tcPr/>
          <w:bookmarkStart w:id="58" w:name="tbl-anomalias"/>
          <w:p>
            <w:pPr>
              <w:jc w:val="center"/>
            </w:pPr>
            <w:pPr>
              <w:jc w:val="left"/>
              <w:spacing w:before="200"/>
              <w:pStyle w:val="ImageCaption"/>
            </w:pPr>
            <w:r>
              <w:t xml:space="preserve">Tabla 6: Anomalias significativas de NDVI (z &lt; -2) en la serie combinada 2013–2025.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Estación</w:t>
                  </w:r>
                </w:p>
              </w:tc>
              <w:tc>
                <w:tcPr/>
                <w:p>
                  <w:pPr>
                    <w:pStyle w:val="Compact"/>
                    <w:jc w:val="center"/>
                  </w:pPr>
                  <w:r>
                    <w:t xml:space="preserve">Fecha</w:t>
                  </w:r>
                </w:p>
              </w:tc>
              <w:tc>
                <w:tcPr/>
                <w:p>
                  <w:pPr>
                    <w:pStyle w:val="Compact"/>
                    <w:jc w:val="center"/>
                  </w:pPr>
                  <w:r>
                    <w:t xml:space="preserve">NDVI</w:t>
                  </w:r>
                </w:p>
              </w:tc>
              <w:tc>
                <w:tcPr/>
                <w:p>
                  <w:pPr>
                    <w:pStyle w:val="Compact"/>
                    <w:jc w:val="center"/>
                  </w:pPr>
                  <w:r>
                    <w:t xml:space="preserve">z-score</w:t>
                  </w:r>
                </w:p>
              </w:tc>
              <w:tc>
                <w:tcPr/>
                <w:p>
                  <w:pPr>
                    <w:pStyle w:val="Compact"/>
                    <w:jc w:val="center"/>
                  </w:pPr>
                  <w:r>
                    <w:t xml:space="preserve">Sensor</w:t>
                  </w:r>
                </w:p>
              </w:tc>
            </w:tr>
            <w:tr>
              <w:tc>
                <w:tcPr/>
                <w:p>
                  <w:pPr>
                    <w:pStyle w:val="Compact"/>
                    <w:jc w:val="center"/>
                  </w:pPr>
                  <w:r>
                    <w:t xml:space="preserve">Isla Boqueron</w:t>
                  </w:r>
                </w:p>
              </w:tc>
              <w:tc>
                <w:tcPr/>
                <w:p>
                  <w:pPr>
                    <w:pStyle w:val="Compact"/>
                    <w:jc w:val="center"/>
                  </w:pPr>
                  <w:r>
                    <w:t xml:space="preserve">2020-09</w:t>
                  </w:r>
                </w:p>
              </w:tc>
              <w:tc>
                <w:tcPr/>
                <w:p>
                  <w:pPr>
                    <w:pStyle w:val="Compact"/>
                    <w:jc w:val="center"/>
                  </w:pPr>
                  <w:r>
                    <w:t xml:space="preserve">-0,018</w:t>
                  </w:r>
                </w:p>
              </w:tc>
              <w:tc>
                <w:tcPr/>
                <w:p>
                  <w:pPr>
                    <w:pStyle w:val="Compact"/>
                    <w:jc w:val="center"/>
                  </w:pPr>
                  <w:r>
                    <w:t xml:space="preserve">-3,36</w:t>
                  </w:r>
                </w:p>
              </w:tc>
              <w:tc>
                <w:tcPr/>
                <w:p>
                  <w:pPr>
                    <w:pStyle w:val="Compact"/>
                    <w:jc w:val="center"/>
                  </w:pPr>
                  <w:r>
                    <w:t xml:space="preserve">Sentinel-2</w:t>
                  </w:r>
                </w:p>
              </w:tc>
            </w:tr>
            <w:tr>
              <w:tc>
                <w:tcPr/>
                <w:p>
                  <w:pPr>
                    <w:pStyle w:val="Compact"/>
                    <w:jc w:val="center"/>
                  </w:pPr>
                  <w:r>
                    <w:t xml:space="preserve">Caño Clarín</w:t>
                  </w:r>
                </w:p>
              </w:tc>
              <w:tc>
                <w:tcPr/>
                <w:p>
                  <w:pPr>
                    <w:pStyle w:val="Compact"/>
                    <w:jc w:val="center"/>
                  </w:pPr>
                  <w:r>
                    <w:t xml:space="preserve">2018-03</w:t>
                  </w:r>
                </w:p>
              </w:tc>
              <w:tc>
                <w:tcPr/>
                <w:p>
                  <w:pPr>
                    <w:pStyle w:val="Compact"/>
                    <w:jc w:val="center"/>
                  </w:pPr>
                  <w:r>
                    <w:t xml:space="preserve">0,166</w:t>
                  </w:r>
                </w:p>
              </w:tc>
              <w:tc>
                <w:tcPr/>
                <w:p>
                  <w:pPr>
                    <w:pStyle w:val="Compact"/>
                    <w:jc w:val="center"/>
                  </w:pPr>
                  <w:r>
                    <w:t xml:space="preserve">-3,15</w:t>
                  </w:r>
                </w:p>
              </w:tc>
              <w:tc>
                <w:tcPr/>
                <w:p>
                  <w:pPr>
                    <w:pStyle w:val="Compact"/>
                    <w:jc w:val="center"/>
                  </w:pPr>
                  <w:r>
                    <w:t xml:space="preserve">Sentinel-2</w:t>
                  </w:r>
                </w:p>
              </w:tc>
            </w:tr>
            <w:tr>
              <w:tc>
                <w:tcPr/>
                <w:p>
                  <w:pPr>
                    <w:pStyle w:val="Compact"/>
                    <w:jc w:val="center"/>
                  </w:pPr>
                  <w:r>
                    <w:t xml:space="preserve">VIPIS</w:t>
                  </w:r>
                </w:p>
              </w:tc>
              <w:tc>
                <w:tcPr/>
                <w:p>
                  <w:pPr>
                    <w:pStyle w:val="Compact"/>
                    <w:jc w:val="center"/>
                  </w:pPr>
                  <w:r>
                    <w:t xml:space="preserve">2016-04</w:t>
                  </w:r>
                </w:p>
              </w:tc>
              <w:tc>
                <w:tcPr/>
                <w:p>
                  <w:pPr>
                    <w:pStyle w:val="Compact"/>
                    <w:jc w:val="center"/>
                  </w:pPr>
                  <w:r>
                    <w:t xml:space="preserve">-0,291</w:t>
                  </w:r>
                </w:p>
              </w:tc>
              <w:tc>
                <w:tcPr/>
                <w:p>
                  <w:pPr>
                    <w:pStyle w:val="Compact"/>
                    <w:jc w:val="center"/>
                  </w:pPr>
                  <w:r>
                    <w:t xml:space="preserve">-2,93</w:t>
                  </w:r>
                </w:p>
              </w:tc>
              <w:tc>
                <w:tcPr/>
                <w:p>
                  <w:pPr>
                    <w:pStyle w:val="Compact"/>
                    <w:jc w:val="center"/>
                  </w:pPr>
                  <w:r>
                    <w:t xml:space="preserve">Landsat 8</w:t>
                  </w:r>
                </w:p>
              </w:tc>
            </w:tr>
            <w:tr>
              <w:tc>
                <w:tcPr/>
                <w:p>
                  <w:pPr>
                    <w:pStyle w:val="Compact"/>
                    <w:jc w:val="center"/>
                  </w:pPr>
                  <w:r>
                    <w:t xml:space="preserve">Caño Clarín</w:t>
                  </w:r>
                </w:p>
              </w:tc>
              <w:tc>
                <w:tcPr/>
                <w:p>
                  <w:pPr>
                    <w:pStyle w:val="Compact"/>
                    <w:jc w:val="center"/>
                  </w:pPr>
                  <w:r>
                    <w:t xml:space="preserve">2025-03</w:t>
                  </w:r>
                </w:p>
              </w:tc>
              <w:tc>
                <w:tcPr/>
                <w:p>
                  <w:pPr>
                    <w:pStyle w:val="Compact"/>
                    <w:jc w:val="center"/>
                  </w:pPr>
                  <w:r>
                    <w:t xml:space="preserve">0,223</w:t>
                  </w:r>
                </w:p>
              </w:tc>
              <w:tc>
                <w:tcPr/>
                <w:p>
                  <w:pPr>
                    <w:pStyle w:val="Compact"/>
                    <w:jc w:val="center"/>
                  </w:pPr>
                  <w:r>
                    <w:t xml:space="preserve">-2,77</w:t>
                  </w:r>
                </w:p>
              </w:tc>
              <w:tc>
                <w:tcPr/>
                <w:p>
                  <w:pPr>
                    <w:pStyle w:val="Compact"/>
                    <w:jc w:val="center"/>
                  </w:pPr>
                  <w:r>
                    <w:t xml:space="preserve">Sentinel-2</w:t>
                  </w:r>
                </w:p>
              </w:tc>
            </w:tr>
            <w:tr>
              <w:tc>
                <w:tcPr/>
                <w:p>
                  <w:pPr>
                    <w:pStyle w:val="Compact"/>
                    <w:jc w:val="center"/>
                  </w:pPr>
                  <w:r>
                    <w:t xml:space="preserve">Caño Palos</w:t>
                  </w:r>
                </w:p>
              </w:tc>
              <w:tc>
                <w:tcPr/>
                <w:p>
                  <w:pPr>
                    <w:pStyle w:val="Compact"/>
                    <w:jc w:val="center"/>
                  </w:pPr>
                  <w:r>
                    <w:t xml:space="preserve">2024-09</w:t>
                  </w:r>
                </w:p>
              </w:tc>
              <w:tc>
                <w:tcPr/>
                <w:p>
                  <w:pPr>
                    <w:pStyle w:val="Compact"/>
                    <w:jc w:val="center"/>
                  </w:pPr>
                  <w:r>
                    <w:t xml:space="preserve">0,272</w:t>
                  </w:r>
                </w:p>
              </w:tc>
              <w:tc>
                <w:tcPr/>
                <w:p>
                  <w:pPr>
                    <w:pStyle w:val="Compact"/>
                    <w:jc w:val="center"/>
                  </w:pPr>
                  <w:r>
                    <w:t xml:space="preserve">-2,66</w:t>
                  </w:r>
                </w:p>
              </w:tc>
              <w:tc>
                <w:tcPr/>
                <w:p>
                  <w:pPr>
                    <w:pStyle w:val="Compact"/>
                    <w:jc w:val="center"/>
                  </w:pPr>
                  <w:r>
                    <w:t xml:space="preserve">Sentinel-2</w:t>
                  </w:r>
                </w:p>
              </w:tc>
            </w:tr>
            <w:tr>
              <w:tc>
                <w:tcPr/>
                <w:p>
                  <w:pPr>
                    <w:pStyle w:val="Compact"/>
                    <w:jc w:val="center"/>
                  </w:pPr>
                  <w:r>
                    <w:t xml:space="preserve">CP Pajarales</w:t>
                  </w:r>
                </w:p>
              </w:tc>
              <w:tc>
                <w:tcPr/>
                <w:p>
                  <w:pPr>
                    <w:pStyle w:val="Compact"/>
                    <w:jc w:val="center"/>
                  </w:pPr>
                  <w:r>
                    <w:t xml:space="preserve">2018-03</w:t>
                  </w:r>
                </w:p>
              </w:tc>
              <w:tc>
                <w:tcPr/>
                <w:p>
                  <w:pPr>
                    <w:pStyle w:val="Compact"/>
                    <w:jc w:val="center"/>
                  </w:pPr>
                  <w:r>
                    <w:t xml:space="preserve">0,203</w:t>
                  </w:r>
                </w:p>
              </w:tc>
              <w:tc>
                <w:tcPr/>
                <w:p>
                  <w:pPr>
                    <w:pStyle w:val="Compact"/>
                    <w:jc w:val="center"/>
                  </w:pPr>
                  <w:r>
                    <w:t xml:space="preserve">-2,50</w:t>
                  </w:r>
                </w:p>
              </w:tc>
              <w:tc>
                <w:tcPr/>
                <w:p>
                  <w:pPr>
                    <w:pStyle w:val="Compact"/>
                    <w:jc w:val="center"/>
                  </w:pPr>
                  <w:r>
                    <w:t xml:space="preserve">Sentinel-2</w:t>
                  </w:r>
                </w:p>
              </w:tc>
            </w:tr>
            <w:tr>
              <w:tc>
                <w:tcPr/>
                <w:p>
                  <w:pPr>
                    <w:pStyle w:val="Compact"/>
                    <w:jc w:val="center"/>
                  </w:pPr>
                  <w:r>
                    <w:t xml:space="preserve">Punta Cerro</w:t>
                  </w:r>
                </w:p>
              </w:tc>
              <w:tc>
                <w:tcPr/>
                <w:p>
                  <w:pPr>
                    <w:pStyle w:val="Compact"/>
                    <w:jc w:val="center"/>
                  </w:pPr>
                  <w:r>
                    <w:t xml:space="preserve">2020-09</w:t>
                  </w:r>
                </w:p>
              </w:tc>
              <w:tc>
                <w:tcPr/>
                <w:p>
                  <w:pPr>
                    <w:pStyle w:val="Compact"/>
                    <w:jc w:val="center"/>
                  </w:pPr>
                  <w:r>
                    <w:t xml:space="preserve">-0,078</w:t>
                  </w:r>
                </w:p>
              </w:tc>
              <w:tc>
                <w:tcPr/>
                <w:p>
                  <w:pPr>
                    <w:pStyle w:val="Compact"/>
                    <w:jc w:val="center"/>
                  </w:pPr>
                  <w:r>
                    <w:t xml:space="preserve">-2,46</w:t>
                  </w:r>
                </w:p>
              </w:tc>
              <w:tc>
                <w:tcPr/>
                <w:p>
                  <w:pPr>
                    <w:pStyle w:val="Compact"/>
                    <w:jc w:val="center"/>
                  </w:pPr>
                  <w:r>
                    <w:t xml:space="preserve">Sentinel-2</w:t>
                  </w:r>
                </w:p>
              </w:tc>
            </w:tr>
            <w:tr>
              <w:tc>
                <w:tcPr/>
                <w:p>
                  <w:pPr>
                    <w:pStyle w:val="Compact"/>
                    <w:jc w:val="center"/>
                  </w:pPr>
                  <w:r>
                    <w:t xml:space="preserve">CP Pajarales</w:t>
                  </w:r>
                </w:p>
              </w:tc>
              <w:tc>
                <w:tcPr/>
                <w:p>
                  <w:pPr>
                    <w:pStyle w:val="Compact"/>
                    <w:jc w:val="center"/>
                  </w:pPr>
                  <w:r>
                    <w:t xml:space="preserve">2022-09</w:t>
                  </w:r>
                </w:p>
              </w:tc>
              <w:tc>
                <w:tcPr/>
                <w:p>
                  <w:pPr>
                    <w:pStyle w:val="Compact"/>
                    <w:jc w:val="center"/>
                  </w:pPr>
                  <w:r>
                    <w:t xml:space="preserve">0,217</w:t>
                  </w:r>
                </w:p>
              </w:tc>
              <w:tc>
                <w:tcPr/>
                <w:p>
                  <w:pPr>
                    <w:pStyle w:val="Compact"/>
                    <w:jc w:val="center"/>
                  </w:pPr>
                  <w:r>
                    <w:t xml:space="preserve">-2,40</w:t>
                  </w:r>
                </w:p>
              </w:tc>
              <w:tc>
                <w:tcPr/>
                <w:p>
                  <w:pPr>
                    <w:pStyle w:val="Compact"/>
                    <w:jc w:val="center"/>
                  </w:pPr>
                  <w:r>
                    <w:t xml:space="preserve">Sentinel-2</w:t>
                  </w:r>
                </w:p>
              </w:tc>
            </w:tr>
          </w:tbl>
          <w:bookmarkEnd w:id="58"/>
          <w:p/>
        </w:tc>
      </w:tr>
    </w:tbl>
    <w:p>
      <w:pPr>
        <w:pStyle w:val="BodyText"/>
      </w:pPr>
      <w:r>
        <w:t xml:space="preserve">La construcción del datacube trimestral CF-1.8 sobre el AOI acotado —ver tabla</w:t>
      </w:r>
      <w:r>
        <w:t xml:space="preserve"> </w:t>
      </w:r>
      <w:hyperlink w:anchor="tbl-cubos">
        <w:r>
          <w:rPr>
            <w:rStyle w:val="Hyperlink"/>
          </w:rPr>
          <w:t xml:space="preserve">tabla 3</w:t>
        </w:r>
      </w:hyperlink>
      <w:r>
        <w:t xml:space="preserve">—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t xml:space="preserve">), de modo que la dinámica observada deja de estar diluida por el agua, las salinas y los arenales que también ocupan el polígono. El resultado, presentado en la figura</w:t>
      </w:r>
      <w:r>
        <w:t xml:space="preserve"> </w:t>
      </w:r>
      <w:hyperlink w:anchor="fig-ndvi-manglar">
        <w:r>
          <w:rPr>
            <w:rStyle w:val="Hyperlink"/>
          </w:rPr>
          <w:t xml:space="preserve">figura 4</w:t>
        </w:r>
      </w:hyperlink>
      <w: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Style w:val="Table"/>
        <w:tblW w:type="pct" w:w="5000"/>
        <w:tblLayout w:type="fixed"/>
        <w:tblLook w:firstRow="0" w:lastRow="0" w:firstColumn="0" w:lastColumn="0" w:noHBand="0" w:noVBand="0" w:val="0000"/>
      </w:tblPr>
      <w:tblGrid>
        <w:gridCol w:w="7920"/>
      </w:tblGrid>
      <w:tr>
        <w:tc>
          <w:tcPr/>
          <w:bookmarkStart w:id="62" w:name="fig-ndvi-manglar"/>
          <w:p>
            <w:pPr>
              <w:pStyle w:val="Compact"/>
              <w:jc w:val="center"/>
            </w:pPr>
            <w:r>
              <w:drawing>
                <wp:inline>
                  <wp:extent cx="4800600" cy="1931250"/>
                  <wp:effectExtent b="0" l="0" r="0" t="0"/>
                  <wp:docPr descr="" title="" id="60" name="Picture"/>
                  <a:graphic>
                    <a:graphicData uri="http://schemas.openxmlformats.org/drawingml/2006/picture">
                      <pic:pic>
                        <pic:nvPicPr>
                          <pic:cNvPr descr="../outputs/figures/ndvi_mediano_manglar_acotado.png" id="61" name="Picture"/>
                          <pic:cNvPicPr>
                            <a:picLocks noChangeArrowheads="1" noChangeAspect="1"/>
                          </pic:cNvPicPr>
                        </pic:nvPicPr>
                        <pic:blipFill>
                          <a:blip r:embed="rId59"/>
                          <a:stretch>
                            <a:fillRect/>
                          </a:stretch>
                        </pic:blipFill>
                        <pic:spPr bwMode="auto">
                          <a:xfrm>
                            <a:off x="0" y="0"/>
                            <a:ext cx="4800600" cy="193125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Serie temporal del NDVI mediaño del manglar sobre AOI acotado (SFF CGSM + VPI Salamanca, 835 km²) entre 2018 y 2025, calculada a partir del datacube trimestral CF-1.8 restringida a píxeles con</w:t>
            </w:r>
            <w:r>
              <w:t xml:space="preserve"> </w:t>
            </w:r>
            <m:oMath>
              <m:r>
                <m:t>N</m:t>
              </m:r>
              <m:r>
                <m:t>D</m:t>
              </m:r>
              <m:r>
                <m:t>V</m:t>
              </m:r>
              <m:r>
                <m:t>I</m:t>
              </m:r>
              <m:r>
                <m:rPr>
                  <m:sty m:val="p"/>
                </m:rPr>
                <m:t>&gt;</m:t>
              </m:r>
              <m:r>
                <m:t>0</m:t>
              </m:r>
              <m:r>
                <m:rPr>
                  <m:sty m:val="p"/>
                </m:rPr>
                <m:t>,</m:t>
              </m:r>
              <m:r>
                <m:t>4</m:t>
              </m:r>
            </m:oMath>
            <w:r>
              <w:t xml:space="preserve">. Las franjas sombreadas marcan los tres periodos de referencia de la segmentación; la caída de 2019–2020 coincide con la sequía y el episodio La Niña que sostienen la narrativa del informe.</w:t>
            </w:r>
          </w:p>
          <w:bookmarkEnd w:id="62"/>
        </w:tc>
      </w:tr>
    </w:tbl>
    <w:bookmarkEnd w:id="63"/>
    <w:bookmarkStart w:id="65" w:name="análisis-bfast-serie-combinada-20132025"/>
    <w:p>
      <w:pPr>
        <w:pStyle w:val="Heading2"/>
      </w:pPr>
      <w:r>
        <w:t xml:space="preserve">9.2 Análisis bfast (serie combinada 2013–2025)</w:t>
      </w:r>
    </w:p>
    <w:p>
      <w:pPr>
        <w:pStyle w:val="FirstParagraph"/>
      </w:pPr>
      <w:r>
        <w:t xml:space="preserve">La aplicación de bfast sobre las series mensuales de NDVI combinadas Landsat 8 + Sentinel-2 (2013–2025, 12 años) detecto quiebres estructurales en 7 de las 8 estaciones con h = 0,15 y en las 8 estaciones con h = 0,10. Este resultado contrasta con el análisis previo basado unicamente en Sentinel-2 (2018–2025, 7 años), que no detecto 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ano—, coincidente con el evento El Niño 2015–2016, uno de los más intensos registrados, que provoco sequias prolongadas y estres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presento un segundo quiebre en 2022, posiblemente asociado a la recuperación post-La Niña 2020–2021.</w:t>
      </w:r>
    </w:p>
    <w:tbl>
      <w:tblPr>
        <w:tblStyle w:val="Table"/>
        <w:tblW w:type="pct" w:w="5000"/>
        <w:tblLayout w:type="fixed"/>
        <w:tblLook w:firstRow="0" w:lastRow="0" w:firstColumn="0" w:lastColumn="0" w:noHBand="0" w:noVBand="0" w:val="0000"/>
      </w:tblPr>
      <w:tblGrid>
        <w:gridCol w:w="7920"/>
      </w:tblGrid>
      <w:tr>
        <w:tc>
          <w:tcPr/>
          <w:bookmarkStart w:id="64" w:name="tbl-bfast"/>
          <w:p>
            <w:pPr>
              <w:jc w:val="center"/>
            </w:pPr>
            <w:pPr>
              <w:jc w:val="left"/>
              <w:spacing w:before="200"/>
              <w:pStyle w:val="ImageCaption"/>
            </w:pPr>
            <w:r>
              <w:t xml:space="preserve">Tabla 7: Quiebres estructurales detectados por bfast en la serie NDVI combinada (2013–2025).</w:t>
            </w:r>
          </w:p>
          <w:tbl>
            <w:tblPr>
              <w:tblStyle w:val="Table"/>
              <w:tblW w:type="pct" w:w="5000"/>
              <w:tblLayout w:type="fixed"/>
              <w:tblLook w:firstRow="1" w:lastRow="0" w:firstColumn="0" w:lastColumn="0" w:noHBand="0" w:noVBand="0" w:val="0020"/>
            </w:tblPr>
            <w:tblGrid>
              <w:gridCol w:w="965"/>
              <w:gridCol w:w="1835"/>
              <w:gridCol w:w="1641"/>
              <w:gridCol w:w="1835"/>
              <w:gridCol w:w="1641"/>
            </w:tblGrid>
            <w:tr>
              <w:trPr>
                <w:tblHeader w:val="on"/>
              </w:trPr>
              <w:tc>
                <w:tcPr/>
                <w:p>
                  <w:pPr>
                    <w:pStyle w:val="Compact"/>
                    <w:jc w:val="center"/>
                  </w:pPr>
                  <w:r>
                    <w:t xml:space="preserve">Estación</w:t>
                  </w:r>
                </w:p>
              </w:tc>
              <w:tc>
                <w:tcPr/>
                <w:p>
                  <w:pPr>
                    <w:pStyle w:val="Compact"/>
                    <w:jc w:val="center"/>
                  </w:pPr>
                  <w:r>
                    <w:t xml:space="preserve">Quiebres (h=0,15)</w:t>
                  </w:r>
                </w:p>
              </w:tc>
              <w:tc>
                <w:tcPr/>
                <w:p>
                  <w:pPr>
                    <w:pStyle w:val="Compact"/>
                    <w:jc w:val="center"/>
                  </w:pPr>
                  <w:r>
                    <w:t xml:space="preserve">Fecha principal</w:t>
                  </w:r>
                </w:p>
              </w:tc>
              <w:tc>
                <w:tcPr/>
                <w:p>
                  <w:pPr>
                    <w:pStyle w:val="Compact"/>
                    <w:jc w:val="center"/>
                  </w:pPr>
                  <w:r>
                    <w:t xml:space="preserve">Quiebres (h=0,10)</w:t>
                  </w:r>
                </w:p>
              </w:tc>
              <w:tc>
                <w:tcPr/>
                <w:p>
                  <w:pPr>
                    <w:pStyle w:val="Compact"/>
                    <w:jc w:val="center"/>
                  </w:pPr>
                  <w:r>
                    <w:t xml:space="preserve">Evento asociado</w:t>
                  </w:r>
                </w:p>
              </w:tc>
            </w:tr>
            <w:tr>
              <w:tc>
                <w:tcPr/>
                <w:p>
                  <w:pPr>
                    <w:pStyle w:val="Compact"/>
                    <w:jc w:val="center"/>
                  </w:pPr>
                  <w:r>
                    <w:t xml:space="preserve">CP Pajarales</w:t>
                  </w:r>
                </w:p>
              </w:tc>
              <w:tc>
                <w:tcPr/>
                <w:p>
                  <w:pPr>
                    <w:pStyle w:val="Compact"/>
                    <w:jc w:val="center"/>
                  </w:pPr>
                  <w:r>
                    <w:t xml:space="preserve">1</w:t>
                  </w:r>
                </w:p>
              </w:tc>
              <w:tc>
                <w:tcPr/>
                <w:p>
                  <w:pPr>
                    <w:pStyle w:val="Compact"/>
                    <w:jc w:val="center"/>
                  </w:pPr>
                  <w:r>
                    <w:t xml:space="preserve">2016-10</w:t>
                  </w:r>
                </w:p>
              </w:tc>
              <w:tc>
                <w:tcPr/>
                <w:p>
                  <w:pPr>
                    <w:pStyle w:val="Compact"/>
                    <w:jc w:val="center"/>
                  </w:pPr>
                  <w:r>
                    <w:t xml:space="preserve">1</w:t>
                  </w:r>
                </w:p>
              </w:tc>
              <w:tc>
                <w:tcPr/>
                <w:p>
                  <w:pPr>
                    <w:pStyle w:val="Compact"/>
                    <w:jc w:val="center"/>
                  </w:pPr>
                  <w:r>
                    <w:t xml:space="preserve">El Niño 2015–2016</w:t>
                  </w:r>
                </w:p>
              </w:tc>
            </w:tr>
            <w:tr>
              <w:tc>
                <w:tcPr/>
                <w:p>
                  <w:pPr>
                    <w:pStyle w:val="Compact"/>
                    <w:jc w:val="center"/>
                  </w:pPr>
                  <w:r>
                    <w:t xml:space="preserve">Caño Clarín</w:t>
                  </w:r>
                </w:p>
              </w:tc>
              <w:tc>
                <w:tcPr/>
                <w:p>
                  <w:pPr>
                    <w:pStyle w:val="Compact"/>
                    <w:jc w:val="center"/>
                  </w:pPr>
                  <w:r>
                    <w:t xml:space="preserve">1</w:t>
                  </w:r>
                </w:p>
              </w:tc>
              <w:tc>
                <w:tcPr/>
                <w:p>
                  <w:pPr>
                    <w:pStyle w:val="Compact"/>
                    <w:jc w:val="center"/>
                  </w:pPr>
                  <w:r>
                    <w:t xml:space="preserve">2016-09</w:t>
                  </w:r>
                </w:p>
              </w:tc>
              <w:tc>
                <w:tcPr/>
                <w:p>
                  <w:pPr>
                    <w:pStyle w:val="Compact"/>
                    <w:jc w:val="center"/>
                  </w:pPr>
                  <w:r>
                    <w:t xml:space="preserve">1</w:t>
                  </w:r>
                </w:p>
              </w:tc>
              <w:tc>
                <w:tcPr/>
                <w:p>
                  <w:pPr>
                    <w:pStyle w:val="Compact"/>
                    <w:jc w:val="center"/>
                  </w:pPr>
                  <w:r>
                    <w:t xml:space="preserve">El Niño 2015–2016</w:t>
                  </w:r>
                </w:p>
              </w:tc>
            </w:tr>
            <w:tr>
              <w:tc>
                <w:tcPr/>
                <w:p>
                  <w:pPr>
                    <w:pStyle w:val="Compact"/>
                    <w:jc w:val="center"/>
                  </w:pPr>
                  <w:r>
                    <w:t xml:space="preserve">Caño Palos</w:t>
                  </w:r>
                </w:p>
              </w:tc>
              <w:tc>
                <w:tcPr/>
                <w:p>
                  <w:pPr>
                    <w:pStyle w:val="Compact"/>
                    <w:jc w:val="center"/>
                  </w:pPr>
                  <w:r>
                    <w:t xml:space="preserve">1</w:t>
                  </w:r>
                </w:p>
              </w:tc>
              <w:tc>
                <w:tcPr/>
                <w:p>
                  <w:pPr>
                    <w:pStyle w:val="Compact"/>
                    <w:jc w:val="center"/>
                  </w:pPr>
                  <w:r>
                    <w:t xml:space="preserve">2015-06</w:t>
                  </w:r>
                </w:p>
              </w:tc>
              <w:tc>
                <w:tcPr/>
                <w:p>
                  <w:pPr>
                    <w:pStyle w:val="Compact"/>
                    <w:jc w:val="center"/>
                  </w:pPr>
                  <w:r>
                    <w:t xml:space="preserve">error</w:t>
                  </w:r>
                </w:p>
              </w:tc>
              <w:tc>
                <w:tcPr/>
                <w:p>
                  <w:pPr>
                    <w:pStyle w:val="Compact"/>
                    <w:jc w:val="center"/>
                  </w:pPr>
                  <w:r>
                    <w:t xml:space="preserve">El Niño (inicio)</w:t>
                  </w:r>
                </w:p>
              </w:tc>
            </w:tr>
            <w:tr>
              <w:tc>
                <w:tcPr/>
                <w:p>
                  <w:pPr>
                    <w:pStyle w:val="Compact"/>
                    <w:jc w:val="center"/>
                  </w:pPr>
                  <w:r>
                    <w:t xml:space="preserve">Isla Boqueron</w:t>
                  </w:r>
                </w:p>
              </w:tc>
              <w:tc>
                <w:tcPr/>
                <w:p>
                  <w:pPr>
                    <w:pStyle w:val="Compact"/>
                    <w:jc w:val="center"/>
                  </w:pPr>
                  <w:r>
                    <w:t xml:space="preserve">2</w:t>
                  </w:r>
                </w:p>
              </w:tc>
              <w:tc>
                <w:tcPr/>
                <w:p>
                  <w:pPr>
                    <w:pStyle w:val="Compact"/>
                    <w:jc w:val="center"/>
                  </w:pPr>
                  <w:r>
                    <w:t xml:space="preserve">2016-04, 2018-05</w:t>
                  </w:r>
                </w:p>
              </w:tc>
              <w:tc>
                <w:tcPr/>
                <w:p>
                  <w:pPr>
                    <w:pStyle w:val="Compact"/>
                    <w:jc w:val="center"/>
                  </w:pPr>
                  <w:r>
                    <w:t xml:space="preserve">2</w:t>
                  </w:r>
                </w:p>
              </w:tc>
              <w:tc>
                <w:tcPr/>
                <w:p>
                  <w:pPr>
                    <w:pStyle w:val="Compact"/>
                    <w:jc w:val="center"/>
                  </w:pPr>
                  <w:r>
                    <w:t xml:space="preserve">El Niño + transicion</w:t>
                  </w:r>
                </w:p>
              </w:tc>
            </w:tr>
            <w:tr>
              <w:tc>
                <w:tcPr/>
                <w:p>
                  <w:pPr>
                    <w:pStyle w:val="Compact"/>
                    <w:jc w:val="center"/>
                  </w:pPr>
                  <w:r>
                    <w:t xml:space="preserve">Punta Cerro</w:t>
                  </w:r>
                </w:p>
              </w:tc>
              <w:tc>
                <w:tcPr/>
                <w:p>
                  <w:pPr>
                    <w:pStyle w:val="Compact"/>
                    <w:jc w:val="center"/>
                  </w:pPr>
                  <w:r>
                    <w:t xml:space="preserve">1</w:t>
                  </w:r>
                </w:p>
              </w:tc>
              <w:tc>
                <w:tcPr/>
                <w:p>
                  <w:pPr>
                    <w:pStyle w:val="Compact"/>
                    <w:jc w:val="center"/>
                  </w:pPr>
                  <w:r>
                    <w:t xml:space="preserve">2016-11</w:t>
                  </w:r>
                </w:p>
              </w:tc>
              <w:tc>
                <w:tcPr/>
                <w:p>
                  <w:pPr>
                    <w:pStyle w:val="Compact"/>
                    <w:jc w:val="center"/>
                  </w:pPr>
                  <w:r>
                    <w:t xml:space="preserve">3</w:t>
                  </w:r>
                </w:p>
              </w:tc>
              <w:tc>
                <w:tcPr/>
                <w:p>
                  <w:pPr>
                    <w:pStyle w:val="Compact"/>
                    <w:jc w:val="center"/>
                  </w:pPr>
                  <w:r>
                    <w:t xml:space="preserve">El Niño + La Niña + recuperación</w:t>
                  </w:r>
                </w:p>
              </w:tc>
            </w:tr>
            <w:tr>
              <w:tc>
                <w:tcPr/>
                <w:p>
                  <w:pPr>
                    <w:pStyle w:val="Compact"/>
                    <w:jc w:val="center"/>
                  </w:pPr>
                  <w:r>
                    <w:t xml:space="preserve">Punta Chino</w:t>
                  </w:r>
                </w:p>
              </w:tc>
              <w:tc>
                <w:tcPr/>
                <w:p>
                  <w:pPr>
                    <w:pStyle w:val="Compact"/>
                    <w:jc w:val="center"/>
                  </w:pPr>
                  <w:r>
                    <w:t xml:space="preserve">1</w:t>
                  </w:r>
                </w:p>
              </w:tc>
              <w:tc>
                <w:tcPr/>
                <w:p>
                  <w:pPr>
                    <w:pStyle w:val="Compact"/>
                    <w:jc w:val="center"/>
                  </w:pPr>
                  <w:r>
                    <w:t xml:space="preserve">2016-05</w:t>
                  </w:r>
                </w:p>
              </w:tc>
              <w:tc>
                <w:tcPr/>
                <w:p>
                  <w:pPr>
                    <w:pStyle w:val="Compact"/>
                    <w:jc w:val="center"/>
                  </w:pPr>
                  <w:r>
                    <w:t xml:space="preserve">2</w:t>
                  </w:r>
                </w:p>
              </w:tc>
              <w:tc>
                <w:tcPr/>
                <w:p>
                  <w:pPr>
                    <w:pStyle w:val="Compact"/>
                    <w:jc w:val="center"/>
                  </w:pPr>
                  <w:r>
                    <w:t xml:space="preserve">El Niño 2015–2016</w:t>
                  </w:r>
                </w:p>
              </w:tc>
            </w:tr>
            <w:tr>
              <w:tc>
                <w:tcPr/>
                <w:p>
                  <w:pPr>
                    <w:pStyle w:val="Compact"/>
                    <w:jc w:val="center"/>
                  </w:pPr>
                  <w:r>
                    <w:t xml:space="preserve">Río Sevilla</w:t>
                  </w:r>
                </w:p>
              </w:tc>
              <w:tc>
                <w:tcPr/>
                <w:p>
                  <w:pPr>
                    <w:pStyle w:val="Compact"/>
                    <w:jc w:val="center"/>
                  </w:pPr>
                  <w:r>
                    <w:t xml:space="preserve">1</w:t>
                  </w:r>
                </w:p>
              </w:tc>
              <w:tc>
                <w:tcPr/>
                <w:p>
                  <w:pPr>
                    <w:pStyle w:val="Compact"/>
                    <w:jc w:val="center"/>
                  </w:pPr>
                  <w:r>
                    <w:t xml:space="preserve">2016-12</w:t>
                  </w:r>
                </w:p>
              </w:tc>
              <w:tc>
                <w:tcPr/>
                <w:p>
                  <w:pPr>
                    <w:pStyle w:val="Compact"/>
                    <w:jc w:val="center"/>
                  </w:pPr>
                  <w:r>
                    <w:t xml:space="preserve">1</w:t>
                  </w:r>
                </w:p>
              </w:tc>
              <w:tc>
                <w:tcPr/>
                <w:p>
                  <w:pPr>
                    <w:pStyle w:val="Compact"/>
                    <w:jc w:val="center"/>
                  </w:pPr>
                  <w:r>
                    <w:t xml:space="preserve">El Niño 2015–2016</w:t>
                  </w:r>
                </w:p>
              </w:tc>
            </w:tr>
            <w:tr>
              <w:tc>
                <w:tcPr/>
                <w:p>
                  <w:pPr>
                    <w:pStyle w:val="Compact"/>
                    <w:jc w:val="center"/>
                  </w:pPr>
                  <w:r>
                    <w:t xml:space="preserve">VIPIS</w:t>
                  </w:r>
                </w:p>
              </w:tc>
              <w:tc>
                <w:tcPr/>
                <w:p>
                  <w:pPr>
                    <w:pStyle w:val="Compact"/>
                    <w:jc w:val="center"/>
                  </w:pPr>
                  <w:r>
                    <w:t xml:space="preserve">2</w:t>
                  </w:r>
                </w:p>
              </w:tc>
              <w:tc>
                <w:tcPr/>
                <w:p>
                  <w:pPr>
                    <w:pStyle w:val="Compact"/>
                    <w:jc w:val="center"/>
                  </w:pPr>
                  <w:r>
                    <w:t xml:space="preserve">2016-04, 2022-03</w:t>
                  </w:r>
                </w:p>
              </w:tc>
              <w:tc>
                <w:tcPr/>
                <w:p>
                  <w:pPr>
                    <w:pStyle w:val="Compact"/>
                    <w:jc w:val="center"/>
                  </w:pPr>
                  <w:r>
                    <w:t xml:space="preserve">2</w:t>
                  </w:r>
                </w:p>
              </w:tc>
              <w:tc>
                <w:tcPr/>
                <w:p>
                  <w:pPr>
                    <w:pStyle w:val="Compact"/>
                    <w:jc w:val="center"/>
                  </w:pPr>
                  <w:r>
                    <w:t xml:space="preserve">El Niño + recuperación</w:t>
                  </w:r>
                </w:p>
              </w:tc>
            </w:tr>
          </w:tbl>
          <w:bookmarkEnd w:id="64"/>
          <w:p/>
        </w:tc>
      </w:tr>
    </w:tbl>
    <w:bookmarkEnd w:id="65"/>
    <w:bookmarkStart w:id="67" w:name="Xc83a26e2c8becf6137faec9382e4dddefb99217"/>
    <w:p>
      <w:pPr>
        <w:pStyle w:val="Heading2"/>
      </w:pPr>
      <w:r>
        <w:t xml:space="preserve">9.3 Análisis bfast unificado sobre las cuatro estaciones de manglar real (2018–2025)</w:t>
      </w:r>
    </w:p>
    <w:p>
      <w:pPr>
        <w:pStyle w:val="FirstParagraph"/>
      </w:pPr>
      <w:r>
        <w:t xml:space="preserve">El análisis bfast presentado en la tabla</w:t>
      </w:r>
      <w:r>
        <w:t xml:space="preserve"> </w:t>
      </w:r>
      <w:hyperlink w:anchor="tbl-bfast">
        <w:r>
          <w:rPr>
            <w:rStyle w:val="Hyperlink"/>
          </w:rPr>
          <w:t xml:space="preserve">tabla 7</w:t>
        </w:r>
      </w:hyperlink>
      <w:r>
        <w:t xml:space="preserve"> </w:t>
      </w:r>
      <w:r>
        <w:t xml:space="preserve">se calcula sobre las ocho estaciones de muestreo originales del proyecto, las cuales incluyen tanto estaciones que monitorean cobertura de manglar denso como estaciones limnológicas ubicadas sobre la lámina de agua del complejo lagunar central. La clasificación introducida en la tabla</w:t>
      </w:r>
      <w:r>
        <w:t xml:space="preserve"> </w:t>
      </w:r>
      <w:hyperlink w:anchor="tbl-clasif-estaciones">
        <w:r>
          <w:rPr>
            <w:rStyle w:val="Hyperlink"/>
          </w:rPr>
          <w:t xml:space="preserve">tabla 11</w:t>
        </w:r>
      </w:hyperlink>
      <w:r>
        <w:t xml:space="preserve"> </w:t>
      </w:r>
      <w:r>
        <w:t xml:space="preserve">demuestra que esas dos naturalezas espectrales responden a forzantes climáticos con signos opuestos —ver tabla</w:t>
      </w:r>
      <w:r>
        <w:t xml:space="preserve"> </w:t>
      </w:r>
      <w:hyperlink w:anchor="tbl-era5">
        <w:r>
          <w:rPr>
            <w:rStyle w:val="Hyperlink"/>
          </w:rPr>
          <w:t xml:space="preserve">tabla 12</w:t>
        </w:r>
      </w:hyperlink>
      <w: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t xml:space="preserve"> </w:t>
      </w:r>
      <w:hyperlink w:anchor="tbl-bfast-unificado">
        <w:r>
          <w:rPr>
            <w:rStyle w:val="Hyperlink"/>
          </w:rPr>
          <w:t xml:space="preserve">tabla 8</w:t>
        </w:r>
      </w:hyperlink>
      <w:r>
        <w:t xml:space="preserve"> </w:t>
      </w:r>
      <w:r>
        <w:t xml:space="preserve">reporta el resultado de esta evaluación.</w:t>
      </w:r>
    </w:p>
    <w:tbl>
      <w:tblPr>
        <w:tblStyle w:val="Table"/>
        <w:tblW w:type="pct" w:w="5000"/>
        <w:tblLayout w:type="fixed"/>
        <w:tblLook w:firstRow="0" w:lastRow="0" w:firstColumn="0" w:lastColumn="0" w:noHBand="0" w:noVBand="0" w:val="0000"/>
      </w:tblPr>
      <w:tblGrid>
        <w:gridCol w:w="7920"/>
      </w:tblGrid>
      <w:tr>
        <w:tc>
          <w:tcPr/>
          <w:bookmarkStart w:id="66" w:name="tbl-bfast-unificado"/>
          <w:p>
            <w:pPr>
              <w:jc w:val="center"/>
            </w:pPr>
            <w:pPr>
              <w:jc w:val="left"/>
              <w:spacing w:before="200"/>
              <w:pStyle w:val="ImageCaption"/>
            </w:pPr>
            <w:r>
              <w:t xml:space="preserve">Tabla 8: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ayout w:type="fixed"/>
              <w:tblLook w:firstRow="1" w:lastRow="0" w:firstColumn="0" w:lastColumn="0" w:noHBand="0" w:noVBand="0" w:val="0020"/>
            </w:tblPr>
            <w:tblGrid>
              <w:gridCol w:w="1742"/>
              <w:gridCol w:w="1425"/>
              <w:gridCol w:w="1742"/>
              <w:gridCol w:w="1742"/>
              <w:gridCol w:w="1267"/>
            </w:tblGrid>
            <w:tr>
              <w:trPr>
                <w:tblHeader w:val="on"/>
              </w:trPr>
              <w:tc>
                <w:tcPr/>
                <w:p>
                  <w:pPr>
                    <w:pStyle w:val="Compact"/>
                    <w:jc w:val="center"/>
                  </w:pPr>
                  <w:r>
                    <w:t xml:space="preserve">Estación</w:t>
                  </w:r>
                </w:p>
              </w:tc>
              <w:tc>
                <w:tcPr/>
                <w:p>
                  <w:pPr>
                    <w:pStyle w:val="Compact"/>
                    <w:jc w:val="center"/>
                  </w:pPr>
                  <w:r>
                    <w:t xml:space="preserve">Quiebre 2020 (La Niña)</w:t>
                  </w:r>
                </w:p>
              </w:tc>
              <w:tc>
                <w:tcPr/>
                <w:p>
                  <w:pPr>
                    <w:pStyle w:val="Compact"/>
                    <w:jc w:val="center"/>
                  </w:pPr>
                  <w:r>
                    <w:t xml:space="preserve">Quiebre 2022 (Recuperación)</w:t>
                  </w:r>
                </w:p>
              </w:tc>
              <w:tc>
                <w:tcPr/>
                <w:p>
                  <w:pPr>
                    <w:pStyle w:val="Compact"/>
                    <w:jc w:val="center"/>
                  </w:pPr>
                  <w:r>
                    <w:t xml:space="preserve">Quiebre 2023–2025 (El Niño 2023–24)</w:t>
                  </w:r>
                </w:p>
              </w:tc>
              <w:tc>
                <w:tcPr/>
                <w:p>
                  <w:pPr>
                    <w:pStyle w:val="Compact"/>
                    <w:jc w:val="center"/>
                  </w:pPr>
                  <w:r>
                    <w:t xml:space="preserve">Quiebres totales (h=0,15)</w:t>
                  </w:r>
                </w:p>
              </w:tc>
            </w:tr>
            <w:tr>
              <w:tc>
                <w:tcPr/>
                <w:p>
                  <w:pPr>
                    <w:pStyle w:val="Compact"/>
                    <w:jc w:val="center"/>
                  </w:pPr>
                  <w:r>
                    <w:t xml:space="preserve">Caño Palos</w:t>
                  </w:r>
                </w:p>
              </w:tc>
              <w:tc>
                <w:tcPr/>
                <w:p>
                  <w:pPr>
                    <w:pStyle w:val="Compact"/>
                    <w:jc w:val="center"/>
                  </w:pPr>
                  <w:r>
                    <w:rPr>
                      <w:b/>
                      <w:bCs/>
                    </w:rPr>
                    <w:t xml:space="preserve">2020-06</w:t>
                  </w:r>
                </w:p>
              </w:tc>
              <w:tc>
                <w:tcPr/>
                <w:p>
                  <w:pPr>
                    <w:pStyle w:val="Compact"/>
                    <w:jc w:val="center"/>
                  </w:pPr>
                  <w:r>
                    <w:t xml:space="preserve">—</w:t>
                  </w:r>
                </w:p>
              </w:tc>
              <w:tc>
                <w:tcPr/>
                <w:p>
                  <w:pPr>
                    <w:pStyle w:val="Compact"/>
                    <w:jc w:val="center"/>
                  </w:pPr>
                  <w:r>
                    <w:t xml:space="preserve">2024-06</w:t>
                  </w:r>
                </w:p>
              </w:tc>
              <w:tc>
                <w:tcPr/>
                <w:p>
                  <w:pPr>
                    <w:pStyle w:val="Compact"/>
                    <w:jc w:val="center"/>
                  </w:pPr>
                  <w:r>
                    <w:t xml:space="preserve">2</w:t>
                  </w:r>
                </w:p>
              </w:tc>
            </w:tr>
            <w:tr>
              <w:tc>
                <w:tcPr/>
                <w:p>
                  <w:pPr>
                    <w:pStyle w:val="Compact"/>
                    <w:jc w:val="center"/>
                  </w:pPr>
                  <w:r>
                    <w:t xml:space="preserve">Caño Clarín</w:t>
                  </w:r>
                </w:p>
              </w:tc>
              <w:tc>
                <w:tcPr/>
                <w:p>
                  <w:pPr>
                    <w:pStyle w:val="Compact"/>
                    <w:jc w:val="center"/>
                  </w:pPr>
                  <w:r>
                    <w:rPr>
                      <w:b/>
                      <w:bCs/>
                    </w:rPr>
                    <w:t xml:space="preserve">2020-02, 2020-12</w:t>
                  </w:r>
                </w:p>
              </w:tc>
              <w:tc>
                <w:tcPr/>
                <w:p>
                  <w:pPr>
                    <w:pStyle w:val="Compact"/>
                    <w:jc w:val="center"/>
                  </w:pPr>
                  <w:r>
                    <w:t xml:space="preserve">2021-04</w:t>
                  </w:r>
                </w:p>
              </w:tc>
              <w:tc>
                <w:tcPr/>
                <w:p>
                  <w:pPr>
                    <w:pStyle w:val="Compact"/>
                    <w:jc w:val="center"/>
                  </w:pPr>
                  <w:r>
                    <w:t xml:space="preserve">2023-08, 2024-05, 2025-02</w:t>
                  </w:r>
                </w:p>
              </w:tc>
              <w:tc>
                <w:tcPr/>
                <w:p>
                  <w:pPr>
                    <w:pStyle w:val="Compact"/>
                    <w:jc w:val="center"/>
                  </w:pPr>
                  <w:r>
                    <w:t xml:space="preserve">2 (con h=0,10 sube a 6)</w:t>
                  </w:r>
                </w:p>
              </w:tc>
            </w:tr>
            <w:tr>
              <w:tc>
                <w:tcPr/>
                <w:p>
                  <w:pPr>
                    <w:pStyle w:val="Compact"/>
                    <w:jc w:val="center"/>
                  </w:pPr>
                  <w:r>
                    <w:t xml:space="preserve">CP Aguas Negras</w:t>
                  </w:r>
                </w:p>
              </w:tc>
              <w:tc>
                <w:tcPr/>
                <w:p>
                  <w:pPr>
                    <w:pStyle w:val="Compact"/>
                    <w:jc w:val="center"/>
                  </w:pPr>
                  <w:r>
                    <w:t xml:space="preserve">—</w:t>
                  </w:r>
                </w:p>
              </w:tc>
              <w:tc>
                <w:tcPr/>
                <w:p>
                  <w:pPr>
                    <w:pStyle w:val="Compact"/>
                    <w:jc w:val="center"/>
                  </w:pPr>
                  <w:r>
                    <w:rPr>
                      <w:b/>
                      <w:bCs/>
                    </w:rPr>
                    <w:t xml:space="preserve">2022-04</w:t>
                  </w:r>
                </w:p>
              </w:tc>
              <w:tc>
                <w:tcPr/>
                <w:p>
                  <w:pPr>
                    <w:pStyle w:val="Compact"/>
                    <w:jc w:val="center"/>
                  </w:pPr>
                  <w:r>
                    <w:t xml:space="preserve">2023-10</w:t>
                  </w:r>
                </w:p>
              </w:tc>
              <w:tc>
                <w:tcPr/>
                <w:p>
                  <w:pPr>
                    <w:pStyle w:val="Compact"/>
                    <w:jc w:val="center"/>
                  </w:pPr>
                  <w:r>
                    <w:t xml:space="preserve">2</w:t>
                  </w:r>
                </w:p>
              </w:tc>
            </w:tr>
            <w:tr>
              <w:tc>
                <w:tcPr/>
                <w:p>
                  <w:pPr>
                    <w:pStyle w:val="Compact"/>
                    <w:jc w:val="center"/>
                  </w:pPr>
                  <w:r>
                    <w:t xml:space="preserve">CP Luna</w:t>
                  </w:r>
                </w:p>
              </w:tc>
              <w:tc>
                <w:tcPr/>
                <w:p>
                  <w:pPr>
                    <w:pStyle w:val="Compact"/>
                    <w:jc w:val="center"/>
                  </w:pPr>
                  <w:r>
                    <w:t xml:space="preserve">—</w:t>
                  </w:r>
                </w:p>
              </w:tc>
              <w:tc>
                <w:tcPr/>
                <w:p>
                  <w:pPr>
                    <w:pStyle w:val="Compact"/>
                    <w:jc w:val="center"/>
                  </w:pPr>
                  <w:r>
                    <w:rPr>
                      <w:b/>
                      <w:bCs/>
                    </w:rPr>
                    <w:t xml:space="preserve">2022-01</w:t>
                  </w:r>
                </w:p>
              </w:tc>
              <w:tc>
                <w:tcPr/>
                <w:p>
                  <w:pPr>
                    <w:pStyle w:val="Compact"/>
                    <w:jc w:val="center"/>
                  </w:pPr>
                  <w:r>
                    <w:t xml:space="preserve">2024-06</w:t>
                  </w:r>
                </w:p>
              </w:tc>
              <w:tc>
                <w:tcPr/>
                <w:p>
                  <w:pPr>
                    <w:pStyle w:val="Compact"/>
                    <w:jc w:val="center"/>
                  </w:pPr>
                  <w:r>
                    <w:t xml:space="preserve">2</w:t>
                  </w:r>
                </w:p>
              </w:tc>
            </w:tr>
          </w:tbl>
          <w:bookmarkEnd w:id="66"/>
          <w:p/>
        </w:tc>
      </w:tr>
    </w:tbl>
    <w:p>
      <w:pPr>
        <w:pStyle w:val="BodyText"/>
      </w:pPr>
      <w: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t xml:space="preserve"> </w:t>
      </w:r>
      <w:hyperlink w:anchor="fig-enso-serie">
        <w:r>
          <w:rPr>
            <w:rStyle w:val="Hyperlink"/>
          </w:rPr>
          <w:t xml:space="preserve">figura 5</w:t>
        </w:r>
      </w:hyperlink>
      <w: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67"/>
    <w:bookmarkStart w:id="68" w:name="Xa158233c03487fef3378cd7220430a1cfa6c01d"/>
    <w:p>
      <w:pPr>
        <w:pStyle w:val="Heading2"/>
      </w:pPr>
      <w:r>
        <w:t xml:space="preserve">9.4 Segmentación y dinámica de cobertura sobre el AOI acotado</w:t>
      </w:r>
    </w:p>
    <w:p>
      <w:pPr>
        <w:pStyle w:val="FirstParagraph"/>
      </w:pPr>
      <w: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68"/>
    <w:bookmarkStart w:id="71" w:name="X38e297e02238021cc145ce8710612d37d8ceffe"/>
    <w:p>
      <w:pPr>
        <w:pStyle w:val="Heading2"/>
      </w:pPr>
      <w:r>
        <w:t xml:space="preserve">9.5 Recalculo en EPSG:9377 y análisis topológico de parches</w:t>
      </w:r>
    </w:p>
    <w:p>
      <w:pPr>
        <w:pStyle w:val="FirstParagraph"/>
      </w:pPr>
      <w:r>
        <w:t xml:space="preserve">La reproyección de los GeoJSON al sistema oficial colombiano y la consecuente sustitución de la aproximación esférica por el cálculo directo del área en metros redefine las cifras de cobertura por periodo, de modo que las hectáreas reportadas a continuación corresponden a una proyección equivalente y son comparables con la cartografía base del IGAC. Sobre el AOI acotado, las métricas de fragmentación reportadas en la tabla</w:t>
      </w:r>
      <w:r>
        <w:t xml:space="preserve"> </w:t>
      </w:r>
      <w:hyperlink w:anchor="tbl-fragmentacion-acotado">
        <w:r>
          <w:rPr>
            <w:rStyle w:val="Hyperlink"/>
          </w:rPr>
          <w:t xml:space="preserve">tabla 9</w:t>
        </w:r>
      </w:hyperlink>
      <w:r>
        <w:t xml:space="preserve"> </w:t>
      </w:r>
      <w:r>
        <w:t xml:space="preserve">describen una secuencia de</w:t>
      </w:r>
      <w:r>
        <w:t xml:space="preserve"> </w:t>
      </w:r>
      <w:r>
        <w:rPr>
          <w:b/>
          <w:bCs/>
        </w:rPr>
        <w:t xml:space="preserve">contracción de área clasificada</w:t>
      </w:r>
      <w:r>
        <w:t xml:space="preserve"> </w:t>
      </w:r>
      <w:r>
        <w:t xml:space="preserve">con simultánea</w:t>
      </w:r>
      <w:r>
        <w:t xml:space="preserve"> </w:t>
      </w:r>
      <w:r>
        <w:rPr>
          <w:b/>
          <w:bCs/>
        </w:rPr>
        <w:t xml:space="preserve">consolidación estructural</w:t>
      </w:r>
      <w:r>
        <w:t xml:space="preserve">: el número de parches en el rango filtrado 1–5.000 ha disminuye de 79 en el periodo de degradación a 38 en el de recuperación y a 15 en el actual, en tanto que el área total clasificada como manglar pasa de 12.425,6 a 8.650,8 y a 4.037,0 hectáreas en los mismos cortes. El área media de parche, en contraste, crece de 157,3 a 269,1 hectáreas,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Style w:val="Table"/>
        <w:tblW w:type="pct" w:w="5000"/>
        <w:tblLayout w:type="fixed"/>
        <w:tblLook w:firstRow="0" w:lastRow="0" w:firstColumn="0" w:lastColumn="0" w:noHBand="0" w:noVBand="0" w:val="0000"/>
      </w:tblPr>
      <w:tblGrid>
        <w:gridCol w:w="7920"/>
      </w:tblGrid>
      <w:tr>
        <w:tc>
          <w:tcPr/>
          <w:bookmarkStart w:id="69" w:name="tbl-fragmentacion-acotado"/>
          <w:p>
            <w:pPr>
              <w:jc w:val="center"/>
            </w:pPr>
            <w:pPr>
              <w:jc w:val="left"/>
              <w:spacing w:before="200"/>
              <w:pStyle w:val="ImageCaption"/>
            </w:pPr>
            <w:r>
              <w:t xml:space="preserve">Tabla 9: Métricas de fragmentación sobre AOI acotado (SFF CGSM + VPI Salamanca, 835 km2), calculadas en EPSG:9377. Los parches están filtrados al rango 1–5.000 ha y procesados en Julia descomponiendo MultiPolygons.</w:t>
            </w:r>
          </w:p>
          <w:tbl>
            <w:tblPr>
              <w:tblStyle w:val="Table"/>
              <w:tblW w:type="pct" w:w="5000"/>
              <w:tblLayout w:type="fixed"/>
              <w:tblLook w:firstRow="1" w:lastRow="0" w:firstColumn="0" w:lastColumn="0" w:noHBand="0" w:noVBand="0" w:val="0020"/>
            </w:tblPr>
            <w:tblGrid>
              <w:gridCol w:w="819"/>
              <w:gridCol w:w="1547"/>
              <w:gridCol w:w="1547"/>
              <w:gridCol w:w="1547"/>
              <w:gridCol w:w="1001"/>
              <w:gridCol w:w="1456"/>
            </w:tblGrid>
            <w:tr>
              <w:trPr>
                <w:tblHeader w:val="on"/>
              </w:trPr>
              <w:tc>
                <w:tcPr/>
                <w:p>
                  <w:pPr>
                    <w:pStyle w:val="Compact"/>
                    <w:jc w:val="center"/>
                  </w:pPr>
                  <w:r>
                    <w:t xml:space="preserve">Periodo</w:t>
                  </w:r>
                </w:p>
              </w:tc>
              <w:tc>
                <w:tcPr/>
                <w:p>
                  <w:pPr>
                    <w:pStyle w:val="Compact"/>
                    <w:jc w:val="center"/>
                  </w:pPr>
                  <w:r>
                    <w:t xml:space="preserve">Parches (Julia)</w:t>
                  </w:r>
                </w:p>
              </w:tc>
              <w:tc>
                <w:tcPr/>
                <w:p>
                  <w:pPr>
                    <w:pStyle w:val="Compact"/>
                    <w:jc w:val="center"/>
                  </w:pPr>
                  <w:r>
                    <w:t xml:space="preserve">Area total (ha)</w:t>
                  </w:r>
                </w:p>
              </w:tc>
              <w:tc>
                <w:tcPr/>
                <w:p>
                  <w:pPr>
                    <w:pStyle w:val="Compact"/>
                    <w:jc w:val="center"/>
                  </w:pPr>
                  <w:r>
                    <w:t xml:space="preserve">Area media (ha)</w:t>
                  </w:r>
                </w:p>
              </w:tc>
              <w:tc>
                <w:tcPr/>
                <w:p>
                  <w:pPr>
                    <w:pStyle w:val="Compact"/>
                    <w:jc w:val="center"/>
                  </w:pPr>
                  <w:r>
                    <w:t xml:space="preserve">MSI medio</w:t>
                  </w:r>
                </w:p>
              </w:tc>
              <w:tc>
                <w:tcPr/>
                <w:p>
                  <w:pPr>
                    <w:pStyle w:val="Compact"/>
                    <w:jc w:val="center"/>
                  </w:pPr>
                  <w:r>
                    <w:t xml:space="preserve">NND medio (km)</w:t>
                  </w:r>
                </w:p>
              </w:tc>
            </w:tr>
            <w:tr>
              <w:tc>
                <w:tcPr/>
                <w:p>
                  <w:pPr>
                    <w:pStyle w:val="Compact"/>
                    <w:jc w:val="center"/>
                  </w:pPr>
                  <w:r>
                    <w:t xml:space="preserve">Degradación (2020-S2)</w:t>
                  </w:r>
                </w:p>
              </w:tc>
              <w:tc>
                <w:tcPr/>
                <w:p>
                  <w:pPr>
                    <w:pStyle w:val="Compact"/>
                    <w:jc w:val="center"/>
                  </w:pPr>
                  <w:r>
                    <w:t xml:space="preserve">79</w:t>
                  </w:r>
                </w:p>
              </w:tc>
              <w:tc>
                <w:tcPr/>
                <w:p>
                  <w:pPr>
                    <w:pStyle w:val="Compact"/>
                    <w:jc w:val="center"/>
                  </w:pPr>
                  <w:r>
                    <w:t xml:space="preserve">12.425,6</w:t>
                  </w:r>
                </w:p>
              </w:tc>
              <w:tc>
                <w:tcPr/>
                <w:p>
                  <w:pPr>
                    <w:pStyle w:val="Compact"/>
                    <w:jc w:val="center"/>
                  </w:pPr>
                  <w:r>
                    <w:t xml:space="preserve">157,3</w:t>
                  </w:r>
                </w:p>
              </w:tc>
              <w:tc>
                <w:tcPr/>
                <w:p>
                  <w:pPr>
                    <w:pStyle w:val="Compact"/>
                    <w:jc w:val="center"/>
                  </w:pPr>
                  <w:r>
                    <w:t xml:space="preserve">0,51</w:t>
                  </w:r>
                </w:p>
              </w:tc>
              <w:tc>
                <w:tcPr/>
                <w:p>
                  <w:pPr>
                    <w:pStyle w:val="Compact"/>
                    <w:jc w:val="center"/>
                  </w:pPr>
                  <w:r>
                    <w:t xml:space="preserve">1,10</w:t>
                  </w:r>
                </w:p>
              </w:tc>
            </w:tr>
            <w:tr>
              <w:tc>
                <w:tcPr/>
                <w:p>
                  <w:pPr>
                    <w:pStyle w:val="Compact"/>
                    <w:jc w:val="center"/>
                  </w:pPr>
                  <w:r>
                    <w:t xml:space="preserve">Recuperación (2022-S1)</w:t>
                  </w:r>
                </w:p>
              </w:tc>
              <w:tc>
                <w:tcPr/>
                <w:p>
                  <w:pPr>
                    <w:pStyle w:val="Compact"/>
                    <w:jc w:val="center"/>
                  </w:pPr>
                  <w:r>
                    <w:t xml:space="preserve">38</w:t>
                  </w:r>
                </w:p>
              </w:tc>
              <w:tc>
                <w:tcPr/>
                <w:p>
                  <w:pPr>
                    <w:pStyle w:val="Compact"/>
                    <w:jc w:val="center"/>
                  </w:pPr>
                  <w:r>
                    <w:t xml:space="preserve">8.650,8</w:t>
                  </w:r>
                </w:p>
              </w:tc>
              <w:tc>
                <w:tcPr/>
                <w:p>
                  <w:pPr>
                    <w:pStyle w:val="Compact"/>
                    <w:jc w:val="center"/>
                  </w:pPr>
                  <w:r>
                    <w:t xml:space="preserve">227,7</w:t>
                  </w:r>
                </w:p>
              </w:tc>
              <w:tc>
                <w:tcPr/>
                <w:p>
                  <w:pPr>
                    <w:pStyle w:val="Compact"/>
                    <w:jc w:val="center"/>
                  </w:pPr>
                  <w:r>
                    <w:t xml:space="preserve">1,01</w:t>
                  </w:r>
                </w:p>
              </w:tc>
              <w:tc>
                <w:tcPr/>
                <w:p>
                  <w:pPr>
                    <w:pStyle w:val="Compact"/>
                    <w:jc w:val="center"/>
                  </w:pPr>
                  <w:r>
                    <w:t xml:space="preserve">1,99</w:t>
                  </w:r>
                </w:p>
              </w:tc>
            </w:tr>
            <w:tr>
              <w:tc>
                <w:tcPr/>
                <w:p>
                  <w:pPr>
                    <w:pStyle w:val="Compact"/>
                    <w:jc w:val="center"/>
                  </w:pPr>
                  <w:r>
                    <w:t xml:space="preserve">Actual (2024–2025)</w:t>
                  </w:r>
                </w:p>
              </w:tc>
              <w:tc>
                <w:tcPr/>
                <w:p>
                  <w:pPr>
                    <w:pStyle w:val="Compact"/>
                    <w:jc w:val="center"/>
                  </w:pPr>
                  <w:r>
                    <w:t xml:space="preserve">15</w:t>
                  </w:r>
                </w:p>
              </w:tc>
              <w:tc>
                <w:tcPr/>
                <w:p>
                  <w:pPr>
                    <w:pStyle w:val="Compact"/>
                    <w:jc w:val="center"/>
                  </w:pPr>
                  <w:r>
                    <w:t xml:space="preserve">4.037,0</w:t>
                  </w:r>
                </w:p>
              </w:tc>
              <w:tc>
                <w:tcPr/>
                <w:p>
                  <w:pPr>
                    <w:pStyle w:val="Compact"/>
                    <w:jc w:val="center"/>
                  </w:pPr>
                  <w:r>
                    <w:t xml:space="preserve">269,1</w:t>
                  </w:r>
                </w:p>
              </w:tc>
              <w:tc>
                <w:tcPr/>
                <w:p>
                  <w:pPr>
                    <w:pStyle w:val="Compact"/>
                    <w:jc w:val="center"/>
                  </w:pPr>
                  <w:r>
                    <w:t xml:space="preserve">1,46</w:t>
                  </w:r>
                </w:p>
              </w:tc>
              <w:tc>
                <w:tcPr/>
                <w:p>
                  <w:pPr>
                    <w:pStyle w:val="Compact"/>
                    <w:jc w:val="center"/>
                  </w:pPr>
                  <w:r>
                    <w:t xml:space="preserve">2,39</w:t>
                  </w:r>
                </w:p>
              </w:tc>
            </w:tr>
          </w:tbl>
          <w:bookmarkEnd w:id="69"/>
          <w:p/>
        </w:tc>
      </w:tr>
    </w:tbl>
    <w:p>
      <w:pPr>
        <w:pStyle w:val="BodyText"/>
      </w:pPr>
      <w:r>
        <w:t xml:space="preserve">Antes de interpretar las cifras conviene aclarar el alcance temporal de cada periodo de referencia: la</w:t>
      </w:r>
      <w:r>
        <w:t xml:space="preserve"> </w:t>
      </w:r>
      <w:r>
        <w:rPr>
          <w:b/>
          <w:bCs/>
        </w:rPr>
        <w:t xml:space="preserve">degradación</w:t>
      </w:r>
      <w:r>
        <w:t xml:space="preserve"> </w:t>
      </w:r>
      <w:r>
        <w:t xml:space="preserve">corresponde al semestre julio–diciembre de 2020 y captura la respuesta espectral del manglar durante el evento humanitario de mortandad asociado a La Niña; la</w:t>
      </w:r>
      <w:r>
        <w:t xml:space="preserve"> </w:t>
      </w:r>
      <w:r>
        <w:rPr>
          <w:b/>
          <w:bCs/>
        </w:rPr>
        <w:t xml:space="preserve">recuperación</w:t>
      </w:r>
      <w:r>
        <w:t xml:space="preserve"> </w:t>
      </w:r>
      <w:r>
        <w:t xml:space="preserve">corresponde al semestre enero–junio de 2022 y captura la fase de regeneracion temprana documentada por INVEMAR (2024); el periodo</w:t>
      </w:r>
      <w:r>
        <w:t xml:space="preserve"> </w:t>
      </w:r>
      <w:r>
        <w:rPr>
          <w:b/>
          <w:bCs/>
        </w:rPr>
        <w:t xml:space="preserve">actual</w:t>
      </w:r>
      <w:r>
        <w:t xml:space="preserve"> </w:t>
      </w:r>
      <w:r>
        <w:t xml:space="preserve">corresponde al ciclo anual julio 2024 a junio 2025 y constituye un</w:t>
      </w:r>
      <w:r>
        <w:t xml:space="preserve"> </w:t>
      </w:r>
      <w:r>
        <w:rPr>
          <w:i/>
          <w:iCs/>
        </w:rPr>
        <w:t xml:space="preserve">snapshot</w:t>
      </w:r>
      <w:r>
        <w:t xml:space="preserve"> </w:t>
      </w:r>
      <w: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consideracion metodológica matiza las inferencias sobre cambio neto que se discuten a continuacion.</w:t>
      </w:r>
    </w:p>
    <w:p>
      <w:pPr>
        <w:pStyle w:val="BodyText"/>
      </w:pPr>
      <w:r>
        <w:t xml:space="preserve">Conviene precisar que la contracción del área clasificada por umbrales no equivale, por sí sola, a pérdida de cobertura del manglar; en efecto, la figura</w:t>
      </w:r>
      <w:r>
        <w:t xml:space="preserve"> </w:t>
      </w:r>
      <w:hyperlink w:anchor="fig-ndvi-cambio">
        <w:r>
          <w:rPr>
            <w:rStyle w:val="Hyperlink"/>
          </w:rPr>
          <w:t xml:space="preserve">figura 2</w:t>
        </w:r>
      </w:hyperlink>
      <w:r>
        <w:t xml:space="preserve"> </w:t>
      </w:r>
      <w:r>
        <w:t xml:space="preserve">—calculada directamente sobre el datacube trimestral CF-1.8 como diferencia de NDVI mediano entre el periodo actual y el de degradación— muestra que la mayor parte del AOI acotado presenta tonos azules consistentes con</w:t>
      </w:r>
      <w:r>
        <w:t xml:space="preserve"> </w:t>
      </w:r>
      <w:r>
        <w:rPr>
          <w:b/>
          <w:bCs/>
        </w:rPr>
        <w:t xml:space="preserve">ganancia de vigor vegetativo</w:t>
      </w:r>
      <w:r>
        <w:t xml:space="preserve"> </w:t>
      </w:r>
      <w: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t xml:space="preserve">El análisis topológico complementa estas cifras con dos lecturas adicionales sobre los mismos parches. La aplicación del predicado</w:t>
      </w:r>
      <w:r>
        <w:t xml:space="preserve"> </w:t>
      </w:r>
      <w:r>
        <w:rPr>
          <w:rStyle w:val="VerbatimChar"/>
        </w:rPr>
        <w:t xml:space="preserve">intersects</w:t>
      </w:r>
      <w:r>
        <w:t xml:space="preserve"> </w:t>
      </w:r>
      <w:r>
        <w:t xml:space="preserve">entre cada parche y la frontera del AOI con una tolerancia de 30 metros identifico una proporcion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limite cartográfico del AOI, de modo que sus métricas de fragmentacion globales reflejan tambien el efecto del recorte. La aplicación del predicado</w:t>
      </w:r>
      <w:r>
        <w:t xml:space="preserve"> </w:t>
      </w:r>
      <w:r>
        <w:rPr>
          <w:rStyle w:val="VerbatimChar"/>
        </w:rPr>
        <w:t xml:space="preserve">contains</w:t>
      </w:r>
      <w:r>
        <w:t xml:space="preserve"> </w:t>
      </w:r>
      <w:r>
        <w:t xml:space="preserve">con los ocho puntos de monitoreo no devolvio parches que envolvieran las estaciones bajo el filtro de tamano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tbl>
      <w:tblPr>
        <w:tblStyle w:val="Table"/>
        <w:tblW w:type="pct" w:w="5000"/>
        <w:tblLayout w:type="fixed"/>
        <w:tblLook w:firstRow="0" w:lastRow="0" w:firstColumn="0" w:lastColumn="0" w:noHBand="0" w:noVBand="0" w:val="0000"/>
      </w:tblPr>
      <w:tblGrid>
        <w:gridCol w:w="7920"/>
      </w:tblGrid>
      <w:tr>
        <w:tc>
          <w:tcPr/>
          <w:bookmarkStart w:id="70" w:name="tbl-topológia-acotado"/>
          <w:p>
            <w:pPr>
              <w:jc w:val="center"/>
            </w:pPr>
            <w:pPr>
              <w:jc w:val="left"/>
              <w:spacing w:before="200"/>
              <w:pStyle w:val="ImageCaption"/>
            </w:pPr>
            <w:r>
              <w:t xml:space="preserve">Tabla 10: Parches de manglar truncados por la frontera del AOI acotado (predicado DE-9IM</w:t>
            </w:r>
            <w:r>
              <w:t xml:space="preserve"> </w:t>
            </w:r>
            <w:r>
              <w:rPr>
                <w:rStyle w:val="VerbatimChar"/>
              </w:rPr>
              <w:t xml:space="preserve">intersects</w:t>
            </w:r>
            <w:r>
              <w:t xml:space="preserve"> </w:t>
            </w:r>
            <w:r>
              <w:t xml:space="preserve">con tolerancia de 30 m). Los parches se cuentan agregados como features completos en</w:t>
            </w:r>
            <w:r>
              <w:t xml:space="preserve"> </w:t>
            </w:r>
            <w:r>
              <w:rPr>
                <w:rStyle w:val="VerbatimChar"/>
              </w:rPr>
              <w:t xml:space="preserve">geopandas</w:t>
            </w:r>
            <w:r>
              <w:t xml:space="preserve">.</w:t>
            </w:r>
          </w:p>
          <w:tbl>
            <w:tblPr>
              <w:tblStyle w:val="Table"/>
              <w:tblW w:type="pct" w:w="5000"/>
              <w:tblLayout w:type="fixed"/>
              <w:tblLook w:firstRow="1" w:lastRow="0" w:firstColumn="0" w:lastColumn="0" w:noHBand="0" w:noVBand="0" w:val="0020"/>
            </w:tblPr>
            <w:tblGrid>
              <w:gridCol w:w="1048"/>
              <w:gridCol w:w="1048"/>
              <w:gridCol w:w="2096"/>
              <w:gridCol w:w="1397"/>
              <w:gridCol w:w="2329"/>
            </w:tblGrid>
            <w:tr>
              <w:trPr>
                <w:tblHeader w:val="on"/>
              </w:trPr>
              <w:tc>
                <w:tcPr/>
                <w:p>
                  <w:pPr>
                    <w:pStyle w:val="Compact"/>
                    <w:jc w:val="center"/>
                  </w:pPr>
                  <w:r>
                    <w:t xml:space="preserve">Periodo</w:t>
                  </w:r>
                </w:p>
              </w:tc>
              <w:tc>
                <w:tcPr/>
                <w:p>
                  <w:pPr>
                    <w:pStyle w:val="Compact"/>
                    <w:jc w:val="center"/>
                  </w:pPr>
                  <w:r>
                    <w:t xml:space="preserve">Parches</w:t>
                  </w:r>
                </w:p>
              </w:tc>
              <w:tc>
                <w:tcPr/>
                <w:p>
                  <w:pPr>
                    <w:pStyle w:val="Compact"/>
                    <w:jc w:val="center"/>
                  </w:pPr>
                  <w:r>
                    <w:t xml:space="preserve">Parches en borde</w:t>
                  </w:r>
                </w:p>
              </w:tc>
              <w:tc>
                <w:tcPr/>
                <w:p>
                  <w:pPr>
                    <w:pStyle w:val="Compact"/>
                    <w:jc w:val="center"/>
                  </w:pPr>
                  <w:r>
                    <w:t xml:space="preserve">% en borde</w:t>
                  </w:r>
                </w:p>
              </w:tc>
              <w:tc>
                <w:tcPr/>
                <w:p>
                  <w:pPr>
                    <w:pStyle w:val="Compact"/>
                    <w:jc w:val="center"/>
                  </w:pPr>
                  <w:r>
                    <w:t xml:space="preserve">Area en borde (ha)</w:t>
                  </w:r>
                </w:p>
              </w:tc>
            </w:tr>
            <w:tr>
              <w:tc>
                <w:tcPr/>
                <w:p>
                  <w:pPr>
                    <w:pStyle w:val="Compact"/>
                    <w:jc w:val="center"/>
                  </w:pPr>
                  <w:r>
                    <w:t xml:space="preserve">Degradación (2020-S2)</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35,3</w:t>
                  </w:r>
                </w:p>
              </w:tc>
              <w:tc>
                <w:tcPr/>
                <w:p>
                  <w:pPr>
                    <w:pStyle w:val="Compact"/>
                    <w:jc w:val="center"/>
                  </w:pPr>
                  <w:r>
                    <w:t xml:space="preserve">5.104,3</w:t>
                  </w:r>
                </w:p>
              </w:tc>
            </w:tr>
            <w:tr>
              <w:tc>
                <w:tcPr/>
                <w:p>
                  <w:pPr>
                    <w:pStyle w:val="Compact"/>
                    <w:jc w:val="center"/>
                  </w:pPr>
                  <w:r>
                    <w:t xml:space="preserve">Recuperación (2022-S1)</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47,1</w:t>
                  </w:r>
                </w:p>
              </w:tc>
              <w:tc>
                <w:tcPr/>
                <w:p>
                  <w:pPr>
                    <w:pStyle w:val="Compact"/>
                    <w:jc w:val="center"/>
                  </w:pPr>
                  <w:r>
                    <w:t xml:space="preserve">8.325,7</w:t>
                  </w:r>
                </w:p>
              </w:tc>
            </w:tr>
            <w:tr>
              <w:tc>
                <w:tcPr/>
                <w:p>
                  <w:pPr>
                    <w:pStyle w:val="Compact"/>
                    <w:jc w:val="center"/>
                  </w:pPr>
                  <w:r>
                    <w:t xml:space="preserve">Actual (2024–2025)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53,3</w:t>
                  </w:r>
                </w:p>
              </w:tc>
              <w:tc>
                <w:tcPr/>
                <w:p>
                  <w:pPr>
                    <w:pStyle w:val="Compact"/>
                    <w:jc w:val="center"/>
                  </w:pPr>
                  <w:r>
                    <w:t xml:space="preserve">5.237,9</w:t>
                  </w:r>
                </w:p>
              </w:tc>
            </w:tr>
          </w:tbl>
          <w:bookmarkEnd w:id="70"/>
          <w:p/>
        </w:tc>
      </w:tr>
    </w:tbl>
    <w:p>
      <w:pPr>
        <w:pStyle w:val="BodyText"/>
      </w:pPr>
      <w: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hectárea –predicado DE-9IM</w:t>
      </w:r>
      <w:r>
        <w:t xml:space="preserve"> </w:t>
      </w:r>
      <w:r>
        <w:rPr>
          <w:rStyle w:val="VerbatimChar"/>
        </w:rPr>
        <w:t xml:space="preserve">contains</w:t>
      </w:r>
      <w: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71"/>
    <w:bookmarkStart w:id="73" w:name="Xa1e6b85eca4295dcf098131609cba2224fef6d1"/>
    <w:p>
      <w:pPr>
        <w:pStyle w:val="Heading2"/>
      </w:pPr>
      <w:r>
        <w:t xml:space="preserve">9.6 Clasificación de las ocho estaciones por naturaleza espectral</w:t>
      </w:r>
    </w:p>
    <w:p>
      <w:pPr>
        <w:pStyle w:val="FirstParagraph"/>
      </w:pPr>
      <w: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t xml:space="preserve"> </w:t>
      </w:r>
      <w:hyperlink w:anchor="tbl-clasif-estaciones">
        <w:r>
          <w:rPr>
            <w:rStyle w:val="Hyperlink"/>
          </w:rPr>
          <w:t xml:space="preserve">tabla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clasif-estaciones"/>
          <w:p>
            <w:pPr>
              <w:jc w:val="center"/>
            </w:pPr>
            <w:pPr>
              <w:jc w:val="left"/>
              <w:spacing w:before="200"/>
              <w:pStyle w:val="ImageCaption"/>
            </w:pPr>
            <w:r>
              <w:t xml:space="preserve">Tabla 11: Clasificación de las ocho estaciones de muestreo por naturaleza espectral y distancia al AOI.</w:t>
            </w:r>
          </w:p>
          <w:tbl>
            <w:tblPr>
              <w:tblStyle w:val="Table"/>
              <w:tblW w:type="pct" w:w="5000"/>
              <w:tblLayout w:type="fixed"/>
              <w:tblLook w:firstRow="1" w:lastRow="0" w:firstColumn="0" w:lastColumn="0" w:noHBand="0" w:noVBand="0" w:val="0020"/>
            </w:tblPr>
            <w:tblGrid>
              <w:gridCol w:w="1425"/>
              <w:gridCol w:w="3801"/>
              <w:gridCol w:w="1108"/>
              <w:gridCol w:w="1584"/>
            </w:tblGrid>
            <w:tr>
              <w:trPr>
                <w:tblHeader w:val="on"/>
              </w:trPr>
              <w:tc>
                <w:tcPr/>
                <w:p>
                  <w:pPr>
                    <w:pStyle w:val="Compact"/>
                    <w:jc w:val="center"/>
                  </w:pPr>
                  <w:r>
                    <w:t xml:space="preserve">Naturaleza</w:t>
                  </w:r>
                </w:p>
              </w:tc>
              <w:tc>
                <w:tcPr/>
                <w:p>
                  <w:pPr>
                    <w:pStyle w:val="Compact"/>
                    <w:jc w:val="center"/>
                  </w:pPr>
                  <w:r>
                    <w:t xml:space="preserve">Estaciones</w:t>
                  </w:r>
                </w:p>
              </w:tc>
              <w:tc>
                <w:tcPr/>
                <w:p>
                  <w:pPr>
                    <w:pStyle w:val="Compact"/>
                    <w:jc w:val="center"/>
                  </w:pPr>
                  <w:r>
                    <w:t xml:space="preserve">NDVI mediano</w:t>
                  </w:r>
                </w:p>
              </w:tc>
              <w:tc>
                <w:tcPr/>
                <w:p>
                  <w:pPr>
                    <w:pStyle w:val="Compact"/>
                    <w:jc w:val="center"/>
                  </w:pPr>
                  <w:r>
                    <w:t xml:space="preserve">Distancia media al AOI</w:t>
                  </w:r>
                </w:p>
              </w:tc>
            </w:tr>
            <w:tr>
              <w:tc>
                <w:tcPr/>
                <w:p>
                  <w:pPr>
                    <w:pStyle w:val="Compact"/>
                    <w:jc w:val="center"/>
                  </w:pPr>
                  <w:r>
                    <w:t xml:space="preserve">Manglar</w:t>
                  </w:r>
                </w:p>
              </w:tc>
              <w:tc>
                <w:tcPr/>
                <w:p>
                  <w:pPr>
                    <w:pStyle w:val="Compact"/>
                    <w:jc w:val="center"/>
                  </w:pPr>
                  <w:r>
                    <w:t xml:space="preserve">Caño Palos, Caño Clarín, CP Aguas Negras, CP Luna</w:t>
                  </w:r>
                </w:p>
              </w:tc>
              <w:tc>
                <w:tcPr/>
                <w:p>
                  <w:pPr>
                    <w:pStyle w:val="Compact"/>
                    <w:jc w:val="center"/>
                  </w:pPr>
                  <w:r>
                    <w:t xml:space="preserve">0,59</w:t>
                  </w:r>
                </w:p>
              </w:tc>
              <w:tc>
                <w:tcPr/>
                <w:p>
                  <w:pPr>
                    <w:pStyle w:val="Compact"/>
                    <w:jc w:val="center"/>
                  </w:pPr>
                  <w:r>
                    <w:t xml:space="preserve">1,9 km</w:t>
                  </w:r>
                </w:p>
              </w:tc>
            </w:tr>
            <w:tr>
              <w:tc>
                <w:tcPr/>
                <w:p>
                  <w:pPr>
                    <w:pStyle w:val="Compact"/>
                    <w:jc w:val="center"/>
                  </w:pPr>
                  <w:r>
                    <w:t xml:space="preserve">Limnológica</w:t>
                  </w:r>
                </w:p>
              </w:tc>
              <w:tc>
                <w:tcPr/>
                <w:p>
                  <w:pPr>
                    <w:pStyle w:val="Compact"/>
                    <w:jc w:val="center"/>
                  </w:pPr>
                  <w:r>
                    <w:t xml:space="preserve">Isla_Boqueron, Punta_Cerro, Punta_Chino, Rio_Sevilla</w:t>
                  </w:r>
                </w:p>
              </w:tc>
              <w:tc>
                <w:tcPr/>
                <w:p>
                  <w:pPr>
                    <w:pStyle w:val="Compact"/>
                    <w:jc w:val="center"/>
                  </w:pPr>
                  <w:r>
                    <w:t xml:space="preserve">0,21</w:t>
                  </w:r>
                </w:p>
              </w:tc>
              <w:tc>
                <w:tcPr/>
                <w:p>
                  <w:pPr>
                    <w:pStyle w:val="Compact"/>
                    <w:jc w:val="center"/>
                  </w:pPr>
                  <w:r>
                    <w:t xml:space="preserve">4,2 km</w:t>
                  </w:r>
                </w:p>
              </w:tc>
            </w:tr>
          </w:tbl>
          <w:bookmarkEnd w:id="72"/>
          <w:p/>
        </w:tc>
      </w:tr>
    </w:tbl>
    <w:p>
      <w:pPr>
        <w:pStyle w:val="BodyText"/>
      </w:pPr>
      <w: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forzantes climáticos —ERA5, ENSO, caudal, CHIRPS— debe desagregarse por naturaleza espectral antes de promediar; el promedio agregado de las ocho cancela las dos señales y produce</w:t>
      </w:r>
      <w:r>
        <w:t xml:space="preserve"> </w:t>
      </w:r>
      <m:oMath>
        <m:d>
          <m:dPr>
            <m:begChr m:val="|"/>
            <m:sepChr m:val=""/>
            <m:endChr m:val="|"/>
            <m:grow/>
          </m:dPr>
          <m:e>
            <m:r>
              <m:t>ρ</m:t>
            </m:r>
          </m:e>
        </m:d>
        <m:r>
          <m:rPr>
            <m:sty m:val="p"/>
          </m:rPr>
          <m:t>&lt;</m:t>
        </m:r>
        <m:r>
          <m:t>0</m:t>
        </m:r>
        <m:r>
          <m:rPr>
            <m:sty m:val="p"/>
          </m:rPr>
          <m:t>,</m:t>
        </m:r>
        <m:r>
          <m:t>12</m:t>
        </m:r>
      </m:oMath>
      <w:r>
        <w:t xml:space="preserve"> </w:t>
      </w:r>
      <w:r>
        <w:t xml:space="preserve">engañosamente bajo (sección siguiente).</w:t>
      </w:r>
    </w:p>
    <w:bookmarkEnd w:id="73"/>
    <w:bookmarkStart w:id="102" w:name="X6e9ecf729376c0dcbad7c2c8d7eb1be3dd47b07"/>
    <w:p>
      <w:pPr>
        <w:pStyle w:val="Heading2"/>
      </w:pPr>
      <w:r>
        <w:t xml:space="preserve">9.7 Forzamiento climático multifuente: ERA5-Land, ENSO, caudal IDEAM y CHIRPS</w:t>
      </w:r>
    </w:p>
    <w:p>
      <w:pPr>
        <w:pStyle w:val="FirstParagraph"/>
      </w:pPr>
      <w:r>
        <w:t xml:space="preserve">Para cerrar la cadena causal</w:t>
      </w:r>
      <w:r>
        <w:t xml:space="preserve"> </w:t>
      </w:r>
      <w:r>
        <w:rPr>
          <w:i/>
          <w:iCs/>
        </w:rPr>
        <w:t xml:space="preserve">La Niña → régimen hídrico regional → respuesta del manglar</w:t>
      </w:r>
      <w:r>
        <w:t xml:space="preserve"> </w:t>
      </w:r>
      <w:r>
        <w:t xml:space="preserve">con evidencia cuantitativa, se cruzan las anomalías NDVI z-score con cuatro forzantes complementarios que cubren escalas espaciales y mecanismos físicos distintos: el reanálisis</w:t>
      </w:r>
      <w:r>
        <w:t xml:space="preserve"> </w:t>
      </w:r>
      <w:r>
        <w:rPr>
          <w:b/>
          <w:bCs/>
        </w:rPr>
        <w:t xml:space="preserve">ERA5-Land</w:t>
      </w:r>
      <w:r>
        <w:t xml:space="preserve"> </w:t>
      </w:r>
      <w:r>
        <w:t xml:space="preserve">del ECMWF (precipitación + temperatura local sobre el píxel del humedal), los</w:t>
      </w:r>
      <w:r>
        <w:t xml:space="preserve"> </w:t>
      </w:r>
      <w:r>
        <w:rPr>
          <w:b/>
          <w:bCs/>
        </w:rPr>
        <w:t xml:space="preserve">índices ENSO globales</w:t>
      </w:r>
      <w:r>
        <w:t xml:space="preserve"> </w:t>
      </w:r>
      <w:r>
        <w:t xml:space="preserve">del Climate Prediction Center de la NOAA (ONI sobre el Pacífico ecuatorial 3.4 + SOI Tahití–Darwin), el</w:t>
      </w:r>
      <w:r>
        <w:t xml:space="preserve"> </w:t>
      </w:r>
      <w:r>
        <w:rPr>
          <w:b/>
          <w:bCs/>
        </w:rPr>
        <w:t xml:space="preserve">caudal IDEAM-DHIME</w:t>
      </w:r>
      <w:r>
        <w:t xml:space="preserve"> </w:t>
      </w:r>
      <w:r>
        <w:t xml:space="preserve">del río Magdalena en El Banco y del río Aracataca en Ganadería Caribe (las dos vías hidrológicas independientes que alimentan el sistema), y la</w:t>
      </w:r>
      <w:r>
        <w:t xml:space="preserve"> </w:t>
      </w:r>
      <w:r>
        <w:rPr>
          <w:b/>
          <w:bCs/>
        </w:rPr>
        <w:t xml:space="preserve">precipitación satelital CHIRPS</w:t>
      </w:r>
      <w:r>
        <w:t xml:space="preserve"> </w:t>
      </w:r>
      <w: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
          <w:bCs/>
        </w:rPr>
        <w:t xml:space="preserve">ERA5-Land local.</w:t>
      </w:r>
      <w:r>
        <w:t xml:space="preserve"> </w:t>
      </w:r>
      <w:r>
        <w:t xml:space="preserve">Sobre las cuatro estaciones de manglar, la anomalía de precipitación ERA5 correlaciona con NDVI a</w:t>
      </w:r>
      <w:r>
        <w:t xml:space="preserve"> </w:t>
      </w:r>
      <m:oMath>
        <m:r>
          <m:t>ρ</m:t>
        </m:r>
        <m:r>
          <m:rPr>
            <m:sty m:val="p"/>
          </m:rPr>
          <m:t>=</m:t>
        </m:r>
        <m:r>
          <m:rPr>
            <m:sty m:val="p"/>
          </m:rPr>
          <m:t>−</m:t>
        </m:r>
        <m:r>
          <m:t>0</m:t>
        </m:r>
        <m:r>
          <m:rPr>
            <m:sty m:val="p"/>
          </m:rPr>
          <m:t>,</m:t>
        </m:r>
        <m:r>
          <m:t>123</m:t>
        </m:r>
      </m:oMath>
      <w:r>
        <w:t xml:space="preserve"> </w:t>
      </w:r>
      <w:r>
        <w:t xml:space="preserve">en rezago de dos meses (tabla</w:t>
      </w:r>
      <w:r>
        <w:t xml:space="preserve"> </w:t>
      </w:r>
      <w:hyperlink w:anchor="tbl-era5">
        <w:r>
          <w:rPr>
            <w:rStyle w:val="Hyperlink"/>
          </w:rPr>
          <w:t xml:space="preserve">tabla 12</w:t>
        </w:r>
      </w:hyperlink>
      <w:r>
        <w:t xml:space="preserve">), valor débil pero consistente con la hipótesis de La Niña como forzante de mortandad puntual: precipitación anómalamente alta induce inundación prolongada e hipoxia en el sistema radicular, con caída posterior del NDVI. Sobre las estaciones limnológicas, en cambio, la misma precipitación se asocia positivamente con NDVI a</w:t>
      </w:r>
      <w:r>
        <w:t xml:space="preserve"> </w:t>
      </w:r>
      <m:oMath>
        <m:r>
          <m:t>ρ</m:t>
        </m:r>
        <m:r>
          <m:rPr>
            <m:sty m:val="p"/>
          </m:rPr>
          <m:t>=</m:t>
        </m:r>
        <m:r>
          <m:rPr>
            <m:sty m:val="p"/>
          </m:rPr>
          <m:t>+</m:t>
        </m:r>
        <m:r>
          <m:t>0</m:t>
        </m:r>
        <m:r>
          <m:rPr>
            <m:sty m:val="p"/>
          </m:rPr>
          <m:t>,</m:t>
        </m:r>
        <m:r>
          <m:t>292</m:t>
        </m:r>
      </m:oMath>
      <w: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w:t>
      </w:r>
    </w:p>
    <w:tbl>
      <w:tblPr>
        <w:tblStyle w:val="Table"/>
        <w:tblW w:type="pct" w:w="5000"/>
        <w:tblLayout w:type="fixed"/>
        <w:tblLook w:firstRow="0" w:lastRow="0" w:firstColumn="0" w:lastColumn="0" w:noHBand="0" w:noVBand="0" w:val="0000"/>
      </w:tblPr>
      <w:tblGrid>
        <w:gridCol w:w="7920"/>
      </w:tblGrid>
      <w:tr>
        <w:tc>
          <w:tcPr/>
          <w:bookmarkStart w:id="74" w:name="tbl-era5"/>
          <w:p>
            <w:pPr>
              <w:jc w:val="center"/>
            </w:pPr>
            <w:pPr>
              <w:jc w:val="left"/>
              <w:spacing w:before="200"/>
              <w:pStyle w:val="ImageCaption"/>
            </w:pPr>
            <w:r>
              <w:t xml:space="preserve">Tabla 12: Correlación entre anomalías climáticas ERA5-Land y NDVI z-score, desagregada por naturaleza espectral.</w:t>
            </w:r>
          </w:p>
          <w:tbl>
            <w:tblPr>
              <w:tblStyle w:val="Table"/>
              <w:tblW w:type="pct" w:w="5000"/>
              <w:tblLayout w:type="fixed"/>
              <w:tblLook w:firstRow="1" w:lastRow="0" w:firstColumn="0" w:lastColumn="0" w:noHBand="0" w:noVBand="0" w:val="0020"/>
            </w:tblPr>
            <w:tblGrid>
              <w:gridCol w:w="1218"/>
              <w:gridCol w:w="1624"/>
              <w:gridCol w:w="2538"/>
              <w:gridCol w:w="2233"/>
              <w:gridCol w:w="304"/>
            </w:tblGrid>
            <w:tr>
              <w:trPr>
                <w:tblHeader w:val="on"/>
              </w:trPr>
              <w:tc>
                <w:tcPr/>
                <w:p>
                  <w:pPr>
                    <w:pStyle w:val="Compact"/>
                    <w:jc w:val="center"/>
                  </w:pPr>
                  <w:r>
                    <w:t xml:space="preserve">Naturaleza</w:t>
                  </w:r>
                </w:p>
              </w:tc>
              <w:tc>
                <w:tcPr/>
                <w:p>
                  <w:pPr>
                    <w:pStyle w:val="Compact"/>
                    <w:jc w:val="center"/>
                  </w:pPr>
                  <w:r>
                    <w:t xml:space="preserve">Rezago (meses)</w:t>
                  </w:r>
                </w:p>
              </w:tc>
              <w:tc>
                <w:tcPr/>
                <w:p>
                  <w:pPr>
                    <w:pStyle w:val="Compact"/>
                    <w:jc w:val="center"/>
                  </w:pPr>
                  <m:oMath>
                    <m:r>
                      <m:t>ρ</m:t>
                    </m:r>
                  </m:oMath>
                  <w:r>
                    <w:t xml:space="preserve"> </w:t>
                  </w:r>
                  <w:r>
                    <w:t xml:space="preserve">precip vs NDVI z</w:t>
                  </w:r>
                </w:p>
              </w:tc>
              <w:tc>
                <w:tcPr/>
                <w:p>
                  <w:pPr>
                    <w:pStyle w:val="Compact"/>
                    <w:jc w:val="center"/>
                  </w:pPr>
                  <m:oMath>
                    <m:r>
                      <m:t>ρ</m:t>
                    </m:r>
                  </m:oMath>
                  <w:r>
                    <w:t xml:space="preserve"> </w:t>
                  </w:r>
                  <w:r>
                    <w:t xml:space="preserve">T2m vs NDVI z</w:t>
                  </w:r>
                </w:p>
              </w:tc>
              <w:tc>
                <w:tcPr/>
                <w:p>
                  <w:pPr>
                    <w:pStyle w:val="Compact"/>
                    <w:jc w:val="center"/>
                  </w:pPr>
                  <w:r>
                    <w:t xml:space="preserve">n</w:t>
                  </w:r>
                </w:p>
              </w:tc>
            </w:tr>
            <w:tr>
              <w:tc>
                <w:tcPr/>
                <w:p>
                  <w:pPr>
                    <w:pStyle w:val="Compact"/>
                    <w:jc w:val="center"/>
                  </w:pPr>
                  <w:r>
                    <w:t xml:space="preserve">Manglar</w:t>
                  </w:r>
                </w:p>
              </w:tc>
              <w:tc>
                <w:tcPr/>
                <w:p>
                  <w:pPr>
                    <w:pStyle w:val="Compact"/>
                    <w:jc w:val="center"/>
                  </w:pPr>
                  <w:r>
                    <w:t xml:space="preserve">0</w:t>
                  </w:r>
                </w:p>
              </w:tc>
              <w:tc>
                <w:tcPr/>
                <w:p>
                  <w:pPr>
                    <w:pStyle w:val="Compact"/>
                    <w:jc w:val="center"/>
                  </w:pPr>
                  <m:oMath>
                    <m:r>
                      <m:rPr>
                        <m:sty m:val="p"/>
                      </m:rPr>
                      <m:t>−</m:t>
                    </m:r>
                    <m:r>
                      <m:t>0</m:t>
                    </m:r>
                    <m:r>
                      <m:rPr>
                        <m:sty m:val="p"/>
                      </m:rPr>
                      <m:t>,</m:t>
                    </m:r>
                    <m:r>
                      <m:t>081</m:t>
                    </m:r>
                  </m:oMath>
                </w:p>
              </w:tc>
              <w:tc>
                <w:tcPr/>
                <w:p>
                  <w:pPr>
                    <w:pStyle w:val="Compact"/>
                    <w:jc w:val="center"/>
                  </w:pPr>
                  <m:oMath>
                    <m:r>
                      <m:rPr>
                        <m:sty m:val="p"/>
                      </m:rPr>
                      <m:t>+</m:t>
                    </m:r>
                    <m:r>
                      <m:t>0</m:t>
                    </m:r>
                    <m:r>
                      <m:rPr>
                        <m:sty m:val="p"/>
                      </m:rPr>
                      <m:t>,</m:t>
                    </m:r>
                    <m:r>
                      <m:t>022</m:t>
                    </m:r>
                  </m:oMath>
                </w:p>
              </w:tc>
              <w:tc>
                <w:tcPr/>
                <w:p>
                  <w:pPr>
                    <w:pStyle w:val="Compact"/>
                    <w:jc w:val="center"/>
                  </w:pPr>
                  <w:r>
                    <w:t xml:space="preserve">86</w:t>
                  </w:r>
                </w:p>
              </w:tc>
            </w:tr>
            <w:tr>
              <w:tc>
                <w:tcPr/>
                <w:p>
                  <w:pPr>
                    <w:pStyle w:val="Compact"/>
                    <w:jc w:val="center"/>
                  </w:pPr>
                  <w:r>
                    <w:t xml:space="preserve">Manglar</w:t>
                  </w:r>
                </w:p>
              </w:tc>
              <w:tc>
                <w:tcPr/>
                <w:p>
                  <w:pPr>
                    <w:pStyle w:val="Compact"/>
                    <w:jc w:val="center"/>
                  </w:pPr>
                  <w:r>
                    <w:t xml:space="preserve">1</w:t>
                  </w:r>
                </w:p>
              </w:tc>
              <w:tc>
                <w:tcPr/>
                <w:p>
                  <w:pPr>
                    <w:pStyle w:val="Compact"/>
                    <w:jc w:val="center"/>
                  </w:pPr>
                  <m:oMath>
                    <m:r>
                      <m:rPr>
                        <m:sty m:val="p"/>
                      </m:rPr>
                      <m:t>−</m:t>
                    </m:r>
                    <m:r>
                      <m:t>0</m:t>
                    </m:r>
                    <m:r>
                      <m:rPr>
                        <m:sty m:val="p"/>
                      </m:rPr>
                      <m:t>,</m:t>
                    </m:r>
                    <m:r>
                      <m:t>081</m:t>
                    </m:r>
                  </m:oMath>
                </w:p>
              </w:tc>
              <w:tc>
                <w:tcPr/>
                <w:p>
                  <w:pPr>
                    <w:pStyle w:val="Compact"/>
                    <w:jc w:val="center"/>
                  </w:pPr>
                  <m:oMath>
                    <m:r>
                      <m:rPr>
                        <m:sty m:val="p"/>
                      </m:rPr>
                      <m:t>+</m:t>
                    </m:r>
                    <m:r>
                      <m:t>0</m:t>
                    </m:r>
                    <m:r>
                      <m:rPr>
                        <m:sty m:val="p"/>
                      </m:rPr>
                      <m:t>,</m:t>
                    </m:r>
                    <m:r>
                      <m:t>040</m:t>
                    </m:r>
                  </m:oMath>
                </w:p>
              </w:tc>
              <w:tc>
                <w:tcPr/>
                <w:p>
                  <w:pPr>
                    <w:pStyle w:val="Compact"/>
                    <w:jc w:val="center"/>
                  </w:pPr>
                  <w:r>
                    <w:t xml:space="preserve">85</w:t>
                  </w:r>
                </w:p>
              </w:tc>
            </w:tr>
            <w:tr>
              <w:tc>
                <w:tcPr/>
                <w:p>
                  <w:pPr>
                    <w:pStyle w:val="Compact"/>
                    <w:jc w:val="center"/>
                  </w:pPr>
                  <w:r>
                    <w:t xml:space="preserve">Manglar</w:t>
                  </w:r>
                </w:p>
              </w:tc>
              <w:tc>
                <w:tcPr/>
                <w:p>
                  <w:pPr>
                    <w:pStyle w:val="Compact"/>
                    <w:jc w:val="center"/>
                  </w:pPr>
                  <w:r>
                    <w:t xml:space="preserve">2</w:t>
                  </w:r>
                </w:p>
              </w:tc>
              <w:tc>
                <w:tcPr/>
                <w:p>
                  <w:pPr>
                    <w:pStyle w:val="Compact"/>
                    <w:jc w:val="center"/>
                  </w:pPr>
                  <m:oMath>
                    <m:r>
                      <m:rPr>
                        <m:sty m:val="p"/>
                      </m:rPr>
                      <m:t>−</m:t>
                    </m:r>
                    <m:r>
                      <m:t>0</m:t>
                    </m:r>
                    <m:r>
                      <m:rPr>
                        <m:sty m:val="p"/>
                      </m:rPr>
                      <m:t>,</m:t>
                    </m:r>
                    <m:r>
                      <m:t>123</m:t>
                    </m:r>
                  </m:oMath>
                </w:p>
              </w:tc>
              <w:tc>
                <w:tcPr/>
                <w:p>
                  <w:pPr>
                    <w:pStyle w:val="Compact"/>
                    <w:jc w:val="center"/>
                  </w:pPr>
                  <m:oMath>
                    <m:r>
                      <m:rPr>
                        <m:sty m:val="p"/>
                      </m:rPr>
                      <m:t>−</m:t>
                    </m:r>
                    <m:r>
                      <m:t>0</m:t>
                    </m:r>
                    <m:r>
                      <m:rPr>
                        <m:sty m:val="p"/>
                      </m:rPr>
                      <m:t>,</m:t>
                    </m:r>
                    <m:r>
                      <m:t>018</m:t>
                    </m:r>
                  </m:oMath>
                </w:p>
              </w:tc>
              <w:tc>
                <w:tcPr/>
                <w:p>
                  <w:pPr>
                    <w:pStyle w:val="Compact"/>
                    <w:jc w:val="center"/>
                  </w:pPr>
                  <w:r>
                    <w:t xml:space="preserve">84</w:t>
                  </w:r>
                </w:p>
              </w:tc>
            </w:tr>
            <w:tr>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020</m:t>
                    </m:r>
                  </m:oMath>
                </w:p>
              </w:tc>
              <w:tc>
                <w:tcPr/>
                <w:p>
                  <w:pPr>
                    <w:pStyle w:val="Compact"/>
                    <w:jc w:val="center"/>
                  </w:pPr>
                  <m:oMath>
                    <m:r>
                      <m:rPr>
                        <m:sty m:val="p"/>
                      </m:rPr>
                      <m:t>−</m:t>
                    </m:r>
                    <m:r>
                      <m:t>0</m:t>
                    </m:r>
                    <m:r>
                      <m:rPr>
                        <m:sty m:val="p"/>
                      </m:rPr>
                      <m:t>,</m:t>
                    </m:r>
                    <m:r>
                      <m:t>087</m:t>
                    </m:r>
                  </m:oMath>
                </w:p>
              </w:tc>
              <w:tc>
                <w:tcPr/>
                <w:p>
                  <w:pPr>
                    <w:pStyle w:val="Compact"/>
                    <w:jc w:val="center"/>
                  </w:pPr>
                  <w:r>
                    <w:t xml:space="preserve">83</w:t>
                  </w:r>
                </w:p>
              </w:tc>
            </w:tr>
            <w:tr>
              <w:tc>
                <w:tcPr/>
                <w:p>
                  <w:pPr>
                    <w:pStyle w:val="Compact"/>
                    <w:jc w:val="center"/>
                  </w:pPr>
                  <w:r>
                    <w:t xml:space="preserve">Limnológica</w:t>
                  </w:r>
                </w:p>
              </w:tc>
              <w:tc>
                <w:tcPr/>
                <w:p>
                  <w:pPr>
                    <w:pStyle w:val="Compact"/>
                    <w:jc w:val="center"/>
                  </w:pPr>
                  <w:r>
                    <w:t xml:space="preserve">0</w:t>
                  </w:r>
                </w:p>
              </w:tc>
              <w:tc>
                <w:tcPr/>
                <w:p>
                  <w:pPr>
                    <w:pStyle w:val="Compact"/>
                    <w:jc w:val="center"/>
                  </w:pPr>
                  <m:oMath>
                    <m:r>
                      <m:rPr>
                        <m:sty m:val="p"/>
                      </m:rPr>
                      <m:t>+</m:t>
                    </m:r>
                    <m:r>
                      <m:t>0</m:t>
                    </m:r>
                    <m:r>
                      <m:rPr>
                        <m:sty m:val="p"/>
                      </m:rPr>
                      <m:t>,</m:t>
                    </m:r>
                    <m:r>
                      <m:t>082</m:t>
                    </m:r>
                  </m:oMath>
                </w:p>
              </w:tc>
              <w:tc>
                <w:tcPr/>
                <w:p>
                  <w:pPr>
                    <w:pStyle w:val="Compact"/>
                    <w:jc w:val="center"/>
                  </w:pPr>
                  <m:oMath>
                    <m:r>
                      <m:rPr>
                        <m:sty m:val="p"/>
                      </m:rPr>
                      <m:t>−</m:t>
                    </m:r>
                    <m:r>
                      <m:t>0</m:t>
                    </m:r>
                    <m:r>
                      <m:rPr>
                        <m:sty m:val="p"/>
                      </m:rPr>
                      <m:t>,</m:t>
                    </m:r>
                    <m:r>
                      <m:t>173</m:t>
                    </m:r>
                  </m:oMath>
                </w:p>
              </w:tc>
              <w:tc>
                <w:tcPr/>
                <w:p>
                  <w:pPr>
                    <w:pStyle w:val="Compact"/>
                    <w:jc w:val="center"/>
                  </w:pPr>
                  <w:r>
                    <w:t xml:space="preserve">72</w:t>
                  </w:r>
                </w:p>
              </w:tc>
            </w:tr>
            <w:tr>
              <w:tc>
                <w:tcPr/>
                <w:p>
                  <w:pPr>
                    <w:pStyle w:val="Compact"/>
                    <w:jc w:val="center"/>
                  </w:pPr>
                  <w:r>
                    <w:t xml:space="preserve">Limnológica</w:t>
                  </w:r>
                </w:p>
              </w:tc>
              <w:tc>
                <w:tcPr/>
                <w:p>
                  <w:pPr>
                    <w:pStyle w:val="Compact"/>
                    <w:jc w:val="center"/>
                  </w:pPr>
                  <w:r>
                    <w:t xml:space="preserve">1</w:t>
                  </w:r>
                </w:p>
              </w:tc>
              <w:tc>
                <w:tcPr/>
                <w:p>
                  <w:pPr>
                    <w:pStyle w:val="Compact"/>
                    <w:jc w:val="center"/>
                  </w:pPr>
                  <m:oMath>
                    <m:r>
                      <m:rPr>
                        <m:sty m:val="p"/>
                      </m:rPr>
                      <m:t>+</m:t>
                    </m:r>
                    <m:r>
                      <m:t>0</m:t>
                    </m:r>
                    <m:r>
                      <m:rPr>
                        <m:sty m:val="p"/>
                      </m:rPr>
                      <m:t>,</m:t>
                    </m:r>
                    <m:r>
                      <m:t>108</m:t>
                    </m:r>
                  </m:oMath>
                </w:p>
              </w:tc>
              <w:tc>
                <w:tcPr/>
                <w:p>
                  <w:pPr>
                    <w:pStyle w:val="Compact"/>
                    <w:jc w:val="center"/>
                  </w:pPr>
                  <m:oMath>
                    <m:r>
                      <m:rPr>
                        <m:sty m:val="p"/>
                      </m:rPr>
                      <m:t>−</m:t>
                    </m:r>
                    <m:r>
                      <m:t>0</m:t>
                    </m:r>
                    <m:r>
                      <m:rPr>
                        <m:sty m:val="p"/>
                      </m:rPr>
                      <m:t>,</m:t>
                    </m:r>
                    <m:r>
                      <m:t>149</m:t>
                    </m:r>
                  </m:oMath>
                </w:p>
              </w:tc>
              <w:tc>
                <w:tcPr/>
                <w:p>
                  <w:pPr>
                    <w:pStyle w:val="Compact"/>
                    <w:jc w:val="center"/>
                  </w:pPr>
                  <w:r>
                    <w:t xml:space="preserve">71</w:t>
                  </w:r>
                </w:p>
              </w:tc>
            </w:tr>
            <w:tr>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292</m:t>
                    </m:r>
                  </m:oMath>
                </w:p>
              </w:tc>
              <w:tc>
                <w:tcPr/>
                <w:p>
                  <w:pPr>
                    <w:pStyle w:val="Compact"/>
                    <w:jc w:val="center"/>
                  </w:pPr>
                  <m:oMath>
                    <m:r>
                      <m:rPr>
                        <m:sty m:val="p"/>
                      </m:rPr>
                      <m:t>−</m:t>
                    </m:r>
                    <m:r>
                      <m:t>0</m:t>
                    </m:r>
                    <m:r>
                      <m:rPr>
                        <m:sty m:val="p"/>
                      </m:rPr>
                      <m:t>,</m:t>
                    </m:r>
                    <m:r>
                      <m:t>144</m:t>
                    </m:r>
                  </m:oMath>
                </w:p>
              </w:tc>
              <w:tc>
                <w:tcPr/>
                <w:p>
                  <w:pPr>
                    <w:pStyle w:val="Compact"/>
                    <w:jc w:val="center"/>
                  </w:pPr>
                  <w:r>
                    <w:t xml:space="preserve">70</w:t>
                  </w:r>
                </w:p>
              </w:tc>
            </w:tr>
            <w:tr>
              <w:tc>
                <w:tcPr/>
                <w:p>
                  <w:pPr>
                    <w:pStyle w:val="Compact"/>
                    <w:jc w:val="center"/>
                  </w:pPr>
                  <w:r>
                    <w:t xml:space="preserve">Limnológica</w:t>
                  </w:r>
                </w:p>
              </w:tc>
              <w:tc>
                <w:tcPr/>
                <w:p>
                  <w:pPr>
                    <w:pStyle w:val="Compact"/>
                    <w:jc w:val="center"/>
                  </w:pPr>
                  <w:r>
                    <w:t xml:space="preserve">3</w:t>
                  </w:r>
                </w:p>
              </w:tc>
              <w:tc>
                <w:tcPr/>
                <w:p>
                  <w:pPr>
                    <w:pStyle w:val="Compact"/>
                    <w:jc w:val="center"/>
                  </w:pPr>
                  <m:oMath>
                    <m:r>
                      <m:rPr>
                        <m:sty m:val="p"/>
                      </m:rPr>
                      <m:t>+</m:t>
                    </m:r>
                    <m:r>
                      <m:t>0</m:t>
                    </m:r>
                    <m:r>
                      <m:rPr>
                        <m:sty m:val="p"/>
                      </m:rPr>
                      <m:t>,</m:t>
                    </m:r>
                    <m:r>
                      <m:t>271</m:t>
                    </m:r>
                  </m:oMath>
                </w:p>
              </w:tc>
              <w:tc>
                <w:tcPr/>
                <w:p>
                  <w:pPr>
                    <w:pStyle w:val="Compact"/>
                    <w:jc w:val="center"/>
                  </w:pPr>
                  <m:oMath>
                    <m:r>
                      <m:rPr>
                        <m:sty m:val="p"/>
                      </m:rPr>
                      <m:t>−</m:t>
                    </m:r>
                    <m:r>
                      <m:t>0</m:t>
                    </m:r>
                    <m:r>
                      <m:rPr>
                        <m:sty m:val="p"/>
                      </m:rPr>
                      <m:t>,</m:t>
                    </m:r>
                    <m:r>
                      <m:t>201</m:t>
                    </m:r>
                  </m:oMath>
                </w:p>
              </w:tc>
              <w:tc>
                <w:tcPr/>
                <w:p>
                  <w:pPr>
                    <w:pStyle w:val="Compact"/>
                    <w:jc w:val="center"/>
                  </w:pPr>
                  <w:r>
                    <w:t xml:space="preserve">69</w:t>
                  </w:r>
                </w:p>
              </w:tc>
            </w:tr>
          </w:tbl>
          <w:bookmarkEnd w:id="74"/>
          <w:p/>
        </w:tc>
      </w:tr>
    </w:tbl>
    <w:p>
      <w:pPr>
        <w:pStyle w:val="BodyText"/>
      </w:pPr>
      <w:r>
        <w:rPr>
          <w:b/>
          <w:bCs/>
        </w:rPr>
        <w:t xml:space="preserve">ENSO global (ONI y SOI de NOAA).</w:t>
      </w:r>
      <w:r>
        <w:t xml:space="preserve"> </w:t>
      </w:r>
      <w:r>
        <w:t xml:space="preserve">La descarga directa de los índices mensuales del CPC permite complementar el forzamiento ERA5-Land con una medida del estado de fondo de la oscilación del Pacífico, evitando el promediado espacial sobre el AOI. La figura</w:t>
      </w:r>
      <w:r>
        <w:t xml:space="preserve"> </w:t>
      </w:r>
      <w:hyperlink w:anchor="fig-enso-serie">
        <w:r>
          <w:rPr>
            <w:rStyle w:val="Hyperlink"/>
          </w:rPr>
          <w:t xml:space="preserve">figura 5</w:t>
        </w:r>
      </w:hyperlink>
      <w:r>
        <w:t xml:space="preserve"> </w:t>
      </w:r>
      <w:r>
        <w:t xml:space="preserve">muestra El Niño 2015–2016 —ONI máximo +2,75, SOI mínimo –3,6— y el episodio La Niña 2020–2022 sostenido con ONI entre –0,5 y –1,2 durante casi dos años. El SOI emerge como mejor predictor que el ONI sobre ambos grupos de estaciones (tabla</w:t>
      </w:r>
      <w:r>
        <w:t xml:space="preserve"> </w:t>
      </w:r>
      <w:hyperlink w:anchor="tbl-enso-corr">
        <w:r>
          <w:rPr>
            <w:rStyle w:val="Hyperlink"/>
          </w:rPr>
          <w:t xml:space="preserve">tabla 13</w:t>
        </w:r>
      </w:hyperlink>
      <w:r>
        <w:t xml:space="preserve">), con</w:t>
      </w:r>
      <w:r>
        <w:t xml:space="preserve"> </w:t>
      </w:r>
      <m:oMath>
        <m:sSub>
          <m:e>
            <m:r>
              <m:t>ρ</m:t>
            </m:r>
          </m:e>
          <m:sub>
            <m:r>
              <m:rPr>
                <m:nor/>
                <m:sty m:val="p"/>
              </m:rPr>
              <m:t>SOI</m:t>
            </m:r>
          </m:sub>
        </m:sSub>
      </m:oMath>
      <w:r>
        <w:t xml:space="preserve"> </w:t>
      </w:r>
      <w: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t xml:space="preserve"> </w:t>
      </w:r>
      <w: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Style w:val="Table"/>
        <w:tblW w:type="pct" w:w="5000"/>
        <w:tblLayout w:type="fixed"/>
        <w:tblLook w:firstRow="0" w:lastRow="0" w:firstColumn="0" w:lastColumn="0" w:noHBand="0" w:noVBand="0" w:val="0000"/>
      </w:tblPr>
      <w:tblGrid>
        <w:gridCol w:w="7920"/>
      </w:tblGrid>
      <w:tr>
        <w:tc>
          <w:tcPr/>
          <w:bookmarkStart w:id="78" w:name="fig-enso-serie"/>
          <w:p>
            <w:pPr>
              <w:pStyle w:val="Compact"/>
              <w:jc w:val="center"/>
            </w:pPr>
            <w:r>
              <w:drawing>
                <wp:inline>
                  <wp:extent cx="5334000" cy="2190950"/>
                  <wp:effectExtent b="0" l="0" r="0" t="0"/>
                  <wp:docPr descr="" title="" id="76" name="Picture"/>
                  <a:graphic>
                    <a:graphicData uri="http://schemas.openxmlformats.org/drawingml/2006/picture">
                      <pic:pic>
                        <pic:nvPicPr>
                          <pic:cNvPr descr="../outputs/figures/enso_serie_2013_2025.png" id="77" name="Picture"/>
                          <pic:cNvPicPr>
                            <a:picLocks noChangeArrowheads="1" noChangeAspect="1"/>
                          </pic:cNvPicPr>
                        </pic:nvPicPr>
                        <pic:blipFill>
                          <a:blip r:embed="rId75"/>
                          <a:stretch>
                            <a:fillRect/>
                          </a:stretch>
                        </pic:blipFill>
                        <pic:spPr bwMode="auto">
                          <a:xfrm>
                            <a:off x="0" y="0"/>
                            <a:ext cx="5334000" cy="219095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Índices ENSO mensuales (ONI y SOI, NOAA CPC) sobre el periodo 2013–2025. Las franjas sombreadas marcan El Niño 2015–2016 y La Niña 2020–2022.</w:t>
            </w:r>
          </w:p>
          <w:bookmarkEnd w:id="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tbl-enso-corr"/>
          <w:p>
            <w:pPr>
              <w:jc w:val="center"/>
            </w:pPr>
            <w:pPr>
              <w:jc w:val="left"/>
              <w:spacing w:before="200"/>
              <w:pStyle w:val="ImageCaption"/>
            </w:pPr>
            <w:r>
              <w:t xml:space="preserve">Tabla 13: Correlación de Pearson entre índices ENSO globales (ONI y SOI de NOAA) y NDVI z-score desagregada por naturaleza espectral.</w:t>
            </w:r>
          </w:p>
          <w:tbl>
            <w:tblPr>
              <w:tblStyle w:val="Table"/>
              <w:tblW w:type="pct" w:w="4000"/>
              <w:tblLayout w:type="fixed"/>
              <w:tblLook w:firstRow="1" w:lastRow="0" w:firstColumn="0" w:lastColumn="0" w:noHBand="0" w:noVBand="0" w:val="0020"/>
            </w:tblPr>
            <w:tblGrid>
              <w:gridCol w:w="1425"/>
              <w:gridCol w:w="1267"/>
              <w:gridCol w:w="1425"/>
              <w:gridCol w:w="1425"/>
              <w:gridCol w:w="792"/>
            </w:tblGrid>
            <w:tr>
              <w:trPr>
                <w:tblHeader w:val="on"/>
              </w:trPr>
              <w:tc>
                <w:tcPr/>
                <w:p>
                  <w:pPr>
                    <w:pStyle w:val="Compact"/>
                    <w:jc w:val="center"/>
                  </w:pPr>
                  <w:r>
                    <w:t xml:space="preserve">Naturaleza</w:t>
                  </w:r>
                </w:p>
              </w:tc>
              <w:tc>
                <w:tcPr/>
                <w:p>
                  <w:pPr>
                    <w:pStyle w:val="Compact"/>
                    <w:jc w:val="center"/>
                  </w:pPr>
                  <w:r>
                    <w:t xml:space="preserve">Rezago (meses)</w:t>
                  </w:r>
                </w:p>
              </w:tc>
              <w:tc>
                <w:tcPr/>
                <w:p>
                  <w:pPr>
                    <w:pStyle w:val="Compact"/>
                    <w:jc w:val="center"/>
                  </w:pPr>
                  <m:oMath>
                    <m:sSub>
                      <m:e>
                        <m:r>
                          <m:t>ρ</m:t>
                        </m:r>
                      </m:e>
                      <m:sub>
                        <m:r>
                          <m:rPr>
                            <m:nor/>
                            <m:sty m:val="p"/>
                          </m:rPr>
                          <m:t>ONI</m:t>
                        </m:r>
                      </m:sub>
                    </m:sSub>
                  </m:oMath>
                </w:p>
              </w:tc>
              <w:tc>
                <w:tcPr/>
                <w:p>
                  <w:pPr>
                    <w:pStyle w:val="Compact"/>
                    <w:jc w:val="center"/>
                  </w:pPr>
                  <m:oMath>
                    <m:sSub>
                      <m:e>
                        <m:r>
                          <m:t>ρ</m:t>
                        </m:r>
                      </m:e>
                      <m:sub>
                        <m:r>
                          <m:rPr>
                            <m:nor/>
                            <m:sty m:val="p"/>
                          </m:rPr>
                          <m:t>SOI</m:t>
                        </m:r>
                      </m:sub>
                    </m:sSub>
                  </m:oMath>
                </w:p>
              </w:tc>
              <w:tc>
                <w:tcPr/>
                <w:p>
                  <w:pPr>
                    <w:pStyle w:val="Compact"/>
                    <w:jc w:val="center"/>
                  </w:pPr>
                  <w:r>
                    <w:t xml:space="preserve">n</w:t>
                  </w:r>
                </w:p>
              </w:tc>
            </w:tr>
            <w:tr>
              <w:tc>
                <w:tcPr/>
                <w:p>
                  <w:pPr>
                    <w:pStyle w:val="Compact"/>
                    <w:jc w:val="center"/>
                  </w:pPr>
                  <w:r>
                    <w:t xml:space="preserve">Manglar</w:t>
                  </w:r>
                </w:p>
              </w:tc>
              <w:tc>
                <w:tcPr/>
                <w:p>
                  <w:pPr>
                    <w:pStyle w:val="Compact"/>
                    <w:jc w:val="center"/>
                  </w:pPr>
                  <w:r>
                    <w:t xml:space="preserve">0</w:t>
                  </w:r>
                </w:p>
              </w:tc>
              <w:tc>
                <w:tcPr/>
                <w:p>
                  <w:pPr>
                    <w:pStyle w:val="Compact"/>
                    <w:jc w:val="center"/>
                  </w:pPr>
                  <m:oMath>
                    <m:r>
                      <m:rPr>
                        <m:sty m:val="p"/>
                      </m:rPr>
                      <m:t>+</m:t>
                    </m:r>
                    <m:r>
                      <m:t>0</m:t>
                    </m:r>
                    <m:r>
                      <m:rPr>
                        <m:sty m:val="p"/>
                      </m:rPr>
                      <m:t>,</m:t>
                    </m:r>
                    <m:r>
                      <m:t>027</m:t>
                    </m:r>
                  </m:oMath>
                </w:p>
              </w:tc>
              <w:tc>
                <w:tcPr/>
                <w:p>
                  <w:pPr>
                    <w:pStyle w:val="Compact"/>
                    <w:jc w:val="center"/>
                  </w:pPr>
                  <m:oMath>
                    <m:r>
                      <m:rPr>
                        <m:sty m:val="p"/>
                      </m:rPr>
                      <m:t>+</m:t>
                    </m:r>
                    <m:r>
                      <m:t>0</m:t>
                    </m:r>
                    <m:r>
                      <m:rPr>
                        <m:sty m:val="p"/>
                      </m:rPr>
                      <m:t>,</m:t>
                    </m:r>
                    <m:r>
                      <m:t>143</m:t>
                    </m:r>
                  </m:oMath>
                </w:p>
              </w:tc>
              <w:tc>
                <w:tcPr/>
                <w:p>
                  <w:pPr>
                    <w:pStyle w:val="Compact"/>
                    <w:jc w:val="center"/>
                  </w:pPr>
                  <w:r>
                    <w:t xml:space="preserve">86</w:t>
                  </w:r>
                </w:p>
              </w:tc>
            </w:tr>
            <w:tr>
              <w:tc>
                <w:tcPr/>
                <w:p>
                  <w:pPr>
                    <w:pStyle w:val="Compact"/>
                    <w:jc w:val="center"/>
                  </w:pPr>
                  <w:r>
                    <w:t xml:space="preserve">Manglar</w:t>
                  </w:r>
                </w:p>
              </w:tc>
              <w:tc>
                <w:tcPr/>
                <w:p>
                  <w:pPr>
                    <w:pStyle w:val="Compact"/>
                    <w:jc w:val="center"/>
                  </w:pPr>
                  <w:r>
                    <w:t xml:space="preserve">1</w:t>
                  </w:r>
                </w:p>
              </w:tc>
              <w:tc>
                <w:tcPr/>
                <w:p>
                  <w:pPr>
                    <w:pStyle w:val="Compact"/>
                    <w:jc w:val="center"/>
                  </w:pPr>
                  <m:oMath>
                    <m:r>
                      <m:rPr>
                        <m:sty m:val="p"/>
                      </m:rPr>
                      <m:t>−</m:t>
                    </m:r>
                    <m:r>
                      <m:t>0</m:t>
                    </m:r>
                    <m:r>
                      <m:rPr>
                        <m:sty m:val="p"/>
                      </m:rPr>
                      <m:t>,</m:t>
                    </m:r>
                    <m:r>
                      <m:t>007</m:t>
                    </m:r>
                  </m:oMath>
                </w:p>
              </w:tc>
              <w:tc>
                <w:tcPr/>
                <w:p>
                  <w:pPr>
                    <w:pStyle w:val="Compact"/>
                    <w:jc w:val="center"/>
                  </w:pPr>
                  <m:oMath>
                    <m:r>
                      <m:rPr>
                        <m:sty m:val="p"/>
                      </m:rPr>
                      <m:t>+</m:t>
                    </m:r>
                    <m:r>
                      <m:t>0</m:t>
                    </m:r>
                    <m:r>
                      <m:rPr>
                        <m:sty m:val="p"/>
                      </m:rPr>
                      <m:t>,</m:t>
                    </m:r>
                    <m:r>
                      <m:t>198</m:t>
                    </m:r>
                  </m:oMath>
                </w:p>
              </w:tc>
              <w:tc>
                <w:tcPr/>
                <w:p>
                  <w:pPr>
                    <w:pStyle w:val="Compact"/>
                    <w:jc w:val="center"/>
                  </w:pPr>
                  <w:r>
                    <w:t xml:space="preserve">85</w:t>
                  </w:r>
                </w:p>
              </w:tc>
            </w:tr>
            <w:tr>
              <w:tc>
                <w:tcPr/>
                <w:p>
                  <w:pPr>
                    <w:pStyle w:val="Compact"/>
                    <w:jc w:val="center"/>
                  </w:pPr>
                  <w:r>
                    <w:t xml:space="preserve">Manglar</w:t>
                  </w:r>
                </w:p>
              </w:tc>
              <w:tc>
                <w:tcPr/>
                <w:p>
                  <w:pPr>
                    <w:pStyle w:val="Compact"/>
                    <w:jc w:val="center"/>
                  </w:pPr>
                  <w:r>
                    <w:t xml:space="preserve">2</w:t>
                  </w:r>
                </w:p>
              </w:tc>
              <w:tc>
                <w:tcPr/>
                <w:p>
                  <w:pPr>
                    <w:pStyle w:val="Compact"/>
                    <w:jc w:val="center"/>
                  </w:pPr>
                  <m:oMath>
                    <m:r>
                      <m:rPr>
                        <m:sty m:val="p"/>
                      </m:rPr>
                      <m:t>−</m:t>
                    </m:r>
                    <m:r>
                      <m:t>0</m:t>
                    </m:r>
                    <m:r>
                      <m:rPr>
                        <m:sty m:val="p"/>
                      </m:rPr>
                      <m:t>,</m:t>
                    </m:r>
                    <m:r>
                      <m:t>039</m:t>
                    </m:r>
                  </m:oMath>
                </w:p>
              </w:tc>
              <w:tc>
                <w:tcPr/>
                <w:p>
                  <w:pPr>
                    <w:pStyle w:val="Compact"/>
                    <w:jc w:val="center"/>
                  </w:pPr>
                  <m:oMath>
                    <m:r>
                      <m:rPr>
                        <m:sty m:val="p"/>
                      </m:rPr>
                      <m:t>+</m:t>
                    </m:r>
                    <m:r>
                      <m:t>0</m:t>
                    </m:r>
                    <m:r>
                      <m:rPr>
                        <m:sty m:val="p"/>
                      </m:rPr>
                      <m:t>,</m:t>
                    </m:r>
                    <m:r>
                      <m:t>146</m:t>
                    </m:r>
                  </m:oMath>
                </w:p>
              </w:tc>
              <w:tc>
                <w:tcPr/>
                <w:p>
                  <w:pPr>
                    <w:pStyle w:val="Compact"/>
                    <w:jc w:val="center"/>
                  </w:pPr>
                  <w:r>
                    <w:t xml:space="preserve">84</w:t>
                  </w:r>
                </w:p>
              </w:tc>
            </w:tr>
            <w:tr>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070</m:t>
                    </m:r>
                  </m:oMath>
                </w:p>
              </w:tc>
              <w:tc>
                <w:tcPr/>
                <w:p>
                  <w:pPr>
                    <w:pStyle w:val="Compact"/>
                    <w:jc w:val="center"/>
                  </w:pPr>
                  <m:oMath>
                    <m:r>
                      <m:rPr>
                        <m:sty m:val="p"/>
                      </m:rPr>
                      <m:t>+</m:t>
                    </m:r>
                    <m:r>
                      <m:t>0</m:t>
                    </m:r>
                    <m:r>
                      <m:rPr>
                        <m:sty m:val="p"/>
                      </m:rPr>
                      <m:t>,</m:t>
                    </m:r>
                    <m:r>
                      <m:t>058</m:t>
                    </m:r>
                  </m:oMath>
                </w:p>
              </w:tc>
              <w:tc>
                <w:tcPr/>
                <w:p>
                  <w:pPr>
                    <w:pStyle w:val="Compact"/>
                    <w:jc w:val="center"/>
                  </w:pPr>
                  <w:r>
                    <w:t xml:space="preserve">83</w:t>
                  </w:r>
                </w:p>
              </w:tc>
            </w:tr>
            <w:tr>
              <w:tc>
                <w:tcPr/>
                <w:p>
                  <w:pPr>
                    <w:pStyle w:val="Compact"/>
                    <w:jc w:val="center"/>
                  </w:pPr>
                  <w:r>
                    <w:t xml:space="preserve">Limnológica</w:t>
                  </w:r>
                </w:p>
              </w:tc>
              <w:tc>
                <w:tcPr/>
                <w:p>
                  <w:pPr>
                    <w:pStyle w:val="Compact"/>
                    <w:jc w:val="center"/>
                  </w:pPr>
                  <w:r>
                    <w:t xml:space="preserve">0</w:t>
                  </w:r>
                </w:p>
              </w:tc>
              <w:tc>
                <w:tcPr/>
                <w:p>
                  <w:pPr>
                    <w:pStyle w:val="Compact"/>
                    <w:jc w:val="center"/>
                  </w:pPr>
                  <m:oMath>
                    <m:r>
                      <m:rPr>
                        <m:sty m:val="p"/>
                      </m:rPr>
                      <m:t>−</m:t>
                    </m:r>
                    <m:r>
                      <m:t>0</m:t>
                    </m:r>
                    <m:r>
                      <m:rPr>
                        <m:sty m:val="p"/>
                      </m:rPr>
                      <m:t>,</m:t>
                    </m:r>
                    <m:r>
                      <m:t>121</m:t>
                    </m:r>
                  </m:oMath>
                </w:p>
              </w:tc>
              <w:tc>
                <w:tcPr/>
                <w:p>
                  <w:pPr>
                    <w:pStyle w:val="Compact"/>
                    <w:jc w:val="center"/>
                  </w:pPr>
                  <m:oMath>
                    <m:r>
                      <m:rPr>
                        <m:sty m:val="p"/>
                      </m:rPr>
                      <m:t>+</m:t>
                    </m:r>
                    <m:r>
                      <m:t>0</m:t>
                    </m:r>
                    <m:r>
                      <m:rPr>
                        <m:sty m:val="p"/>
                      </m:rPr>
                      <m:t>,</m:t>
                    </m:r>
                    <m:r>
                      <m:t>201</m:t>
                    </m:r>
                  </m:oMath>
                </w:p>
              </w:tc>
              <w:tc>
                <w:tcPr/>
                <w:p>
                  <w:pPr>
                    <w:pStyle w:val="Compact"/>
                    <w:jc w:val="center"/>
                  </w:pPr>
                  <w:r>
                    <w:t xml:space="preserve">72</w:t>
                  </w:r>
                </w:p>
              </w:tc>
            </w:tr>
            <w:tr>
              <w:tc>
                <w:tcPr/>
                <w:p>
                  <w:pPr>
                    <w:pStyle w:val="Compact"/>
                    <w:jc w:val="center"/>
                  </w:pPr>
                  <w:r>
                    <w:t xml:space="preserve">Limnológica</w:t>
                  </w:r>
                </w:p>
              </w:tc>
              <w:tc>
                <w:tcPr/>
                <w:p>
                  <w:pPr>
                    <w:pStyle w:val="Compact"/>
                    <w:jc w:val="center"/>
                  </w:pPr>
                  <w:r>
                    <w:t xml:space="preserve">1</w:t>
                  </w:r>
                </w:p>
              </w:tc>
              <w:tc>
                <w:tcPr/>
                <w:p>
                  <w:pPr>
                    <w:pStyle w:val="Compact"/>
                    <w:jc w:val="center"/>
                  </w:pPr>
                  <m:oMath>
                    <m:r>
                      <m:rPr>
                        <m:sty m:val="p"/>
                      </m:rPr>
                      <m:t>−</m:t>
                    </m:r>
                    <m:r>
                      <m:t>0</m:t>
                    </m:r>
                    <m:r>
                      <m:rPr>
                        <m:sty m:val="p"/>
                      </m:rPr>
                      <m:t>,</m:t>
                    </m:r>
                    <m:r>
                      <m:t>089</m:t>
                    </m:r>
                  </m:oMath>
                </w:p>
              </w:tc>
              <w:tc>
                <w:tcPr/>
                <w:p>
                  <w:pPr>
                    <w:pStyle w:val="Compact"/>
                    <w:jc w:val="center"/>
                  </w:pPr>
                  <m:oMath>
                    <m:r>
                      <m:rPr>
                        <m:sty m:val="p"/>
                      </m:rPr>
                      <m:t>+</m:t>
                    </m:r>
                    <m:r>
                      <m:t>0</m:t>
                    </m:r>
                    <m:r>
                      <m:rPr>
                        <m:sty m:val="p"/>
                      </m:rPr>
                      <m:t>,</m:t>
                    </m:r>
                    <m:r>
                      <m:t>120</m:t>
                    </m:r>
                  </m:oMath>
                </w:p>
              </w:tc>
              <w:tc>
                <w:tcPr/>
                <w:p>
                  <w:pPr>
                    <w:pStyle w:val="Compact"/>
                    <w:jc w:val="center"/>
                  </w:pPr>
                  <w:r>
                    <w:t xml:space="preserve">71</w:t>
                  </w:r>
                </w:p>
              </w:tc>
            </w:tr>
            <w:tr>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054</m:t>
                    </m:r>
                  </m:oMath>
                </w:p>
              </w:tc>
              <w:tc>
                <w:tcPr/>
                <w:p>
                  <w:pPr>
                    <w:pStyle w:val="Compact"/>
                    <w:jc w:val="center"/>
                  </w:pPr>
                  <m:oMath>
                    <m:r>
                      <m:rPr>
                        <m:sty m:val="p"/>
                      </m:rPr>
                      <m:t>+</m:t>
                    </m:r>
                    <m:r>
                      <m:t>0</m:t>
                    </m:r>
                    <m:r>
                      <m:rPr>
                        <m:sty m:val="p"/>
                      </m:rPr>
                      <m:t>,</m:t>
                    </m:r>
                    <m:r>
                      <m:t>135</m:t>
                    </m:r>
                  </m:oMath>
                </w:p>
              </w:tc>
              <w:tc>
                <w:tcPr/>
                <w:p>
                  <w:pPr>
                    <w:pStyle w:val="Compact"/>
                    <w:jc w:val="center"/>
                  </w:pPr>
                  <w:r>
                    <w:t xml:space="preserve">70</w:t>
                  </w:r>
                </w:p>
              </w:tc>
            </w:tr>
            <w:tr>
              <w:tc>
                <w:tcPr/>
                <w:p>
                  <w:pPr>
                    <w:pStyle w:val="Compact"/>
                    <w:jc w:val="center"/>
                  </w:pPr>
                  <w:r>
                    <w:t xml:space="preserve">Limnológica</w:t>
                  </w:r>
                </w:p>
              </w:tc>
              <w:tc>
                <w:tcPr/>
                <w:p>
                  <w:pPr>
                    <w:pStyle w:val="Compact"/>
                    <w:jc w:val="center"/>
                  </w:pPr>
                  <w:r>
                    <w:t xml:space="preserve">3</w:t>
                  </w:r>
                </w:p>
              </w:tc>
              <w:tc>
                <w:tcPr/>
                <w:p>
                  <w:pPr>
                    <w:pStyle w:val="Compact"/>
                    <w:jc w:val="center"/>
                  </w:pPr>
                  <m:oMath>
                    <m:r>
                      <m:rPr>
                        <m:sty m:val="p"/>
                      </m:rPr>
                      <m:t>−</m:t>
                    </m:r>
                    <m:r>
                      <m:t>0</m:t>
                    </m:r>
                    <m:r>
                      <m:rPr>
                        <m:sty m:val="p"/>
                      </m:rPr>
                      <m:t>,</m:t>
                    </m:r>
                    <m:r>
                      <m:t>014</m:t>
                    </m:r>
                  </m:oMath>
                </w:p>
              </w:tc>
              <w:tc>
                <w:tcPr/>
                <w:p>
                  <w:pPr>
                    <w:pStyle w:val="Compact"/>
                    <w:jc w:val="center"/>
                  </w:pPr>
                  <m:oMath>
                    <m:r>
                      <m:rPr>
                        <m:sty m:val="p"/>
                      </m:rPr>
                      <m:t>+</m:t>
                    </m:r>
                    <m:r>
                      <m:t>0</m:t>
                    </m:r>
                    <m:r>
                      <m:rPr>
                        <m:sty m:val="p"/>
                      </m:rPr>
                      <m:t>,</m:t>
                    </m:r>
                    <m:r>
                      <m:t>153</m:t>
                    </m:r>
                  </m:oMath>
                </w:p>
              </w:tc>
              <w:tc>
                <w:tcPr/>
                <w:p>
                  <w:pPr>
                    <w:pStyle w:val="Compact"/>
                    <w:jc w:val="center"/>
                  </w:pPr>
                  <w:r>
                    <w:t xml:space="preserve">69</w:t>
                  </w:r>
                </w:p>
              </w:tc>
            </w:tr>
          </w:tbl>
          <w:bookmarkEnd w:id="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3" w:name="fig-enso-correlación"/>
          <w:p>
            <w:pPr>
              <w:pStyle w:val="Compact"/>
              <w:jc w:val="center"/>
            </w:pPr>
            <w:r>
              <w:drawing>
                <wp:inline>
                  <wp:extent cx="5334000" cy="2081068"/>
                  <wp:effectExtent b="0" l="0" r="0" t="0"/>
                  <wp:docPr descr="" title="" id="81" name="Picture"/>
                  <a:graphic>
                    <a:graphicData uri="http://schemas.openxmlformats.org/drawingml/2006/picture">
                      <pic:pic>
                        <pic:nvPicPr>
                          <pic:cNvPr descr="../outputs/figures/enso_vs_ndvi_correlacion.png" id="82" name="Picture"/>
                          <pic:cNvPicPr>
                            <a:picLocks noChangeArrowheads="1" noChangeAspect="1"/>
                          </pic:cNvPicPr>
                        </pic:nvPicPr>
                        <pic:blipFill>
                          <a:blip r:embed="rId80"/>
                          <a:stretch>
                            <a:fillRect/>
                          </a:stretch>
                        </pic:blipFill>
                        <pic:spPr bwMode="auto">
                          <a:xfrm>
                            <a:off x="0" y="0"/>
                            <a:ext cx="5334000" cy="2081068"/>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Correlación entre índices ENSO globales (ONI rojo, SOI azul) y anomalías NDVI z-score, desagregada por naturaleza espectral, rezagos 0–3 meses.</w:t>
            </w:r>
          </w:p>
          <w:bookmarkEnd w:id="83"/>
        </w:tc>
      </w:tr>
    </w:tbl>
    <w:p>
      <w:pPr>
        <w:pStyle w:val="BodyText"/>
      </w:pPr>
      <w:r>
        <w:rPr>
          <w:b/>
          <w:bCs/>
        </w:rPr>
        <w:t xml:space="preserve">Caudal IDEAM-DHIME.</w:t>
      </w:r>
      <w:r>
        <w:t xml:space="preserve"> </w:t>
      </w:r>
      <w: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(tabla</w:t>
      </w:r>
      <w:r>
        <w:t xml:space="preserve"> </w:t>
      </w:r>
      <w:hyperlink w:anchor="tbl-caudal-corr">
        <w:r>
          <w:rPr>
            <w:rStyle w:val="Hyperlink"/>
          </w:rPr>
          <w:t xml:space="preserve">tabla 14</w:t>
        </w:r>
      </w:hyperlink>
      <w:r>
        <w:t xml:space="preserve">); los picos están en El Banco con manglar a tres meses de rezago (</w:t>
      </w:r>
      <m:oMath>
        <m:r>
          <m:t>ρ</m:t>
        </m:r>
        <m:r>
          <m:rPr>
            <m:sty m:val="p"/>
          </m:rPr>
          <m:t>=</m:t>
        </m:r>
        <m:r>
          <m:rPr>
            <m:sty m:val="p"/>
          </m:rPr>
          <m:t>+</m:t>
        </m:r>
        <m:r>
          <m:t>0</m:t>
        </m:r>
        <m:r>
          <m:rPr>
            <m:sty m:val="p"/>
          </m:rPr>
          <m:t>,</m:t>
        </m:r>
        <m:r>
          <m:t>256</m:t>
        </m:r>
      </m:oMath>
      <w:r>
        <w:t xml:space="preserve">, n = 71) y en Ganadería Caribe con manglar a un mes (</w:t>
      </w:r>
      <m:oMath>
        <m:r>
          <m:t>ρ</m:t>
        </m:r>
        <m:r>
          <m:rPr>
            <m:sty m:val="p"/>
          </m:rPr>
          <m:t>=</m:t>
        </m:r>
        <m:r>
          <m:rPr>
            <m:sty m:val="p"/>
          </m:rPr>
          <m:t>+</m:t>
        </m:r>
        <m:r>
          <m:t>0</m:t>
        </m:r>
        <m:r>
          <m:rPr>
            <m:sty m:val="p"/>
          </m:rPr>
          <m:t>,</m:t>
        </m:r>
        <m:r>
          <m:t>224</m:t>
        </m:r>
      </m:oMath>
      <w:r>
        <w:t xml:space="preserve">, n = 67). El signo positivo universal indica que</w:t>
      </w:r>
      <w:r>
        <w:t xml:space="preserve"> </w:t>
      </w:r>
      <w:r>
        <w:rPr>
          <w:b/>
          <w:bCs/>
        </w:rPr>
        <w:t xml:space="preserve">mayor caudal sostenido se asocia con NDVI más alto</w:t>
      </w:r>
      <w: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t xml:space="preserve">) se concentran en 2022 —no en septiembre 2020—, así el pico fluvial del periodo La Niña ocurrió de manera tardía, después del evento de mortandad.</w:t>
      </w:r>
    </w:p>
    <w:tbl>
      <w:tblPr>
        <w:tblStyle w:val="Table"/>
        <w:tblW w:type="pct" w:w="5000"/>
        <w:tblLayout w:type="fixed"/>
        <w:tblLook w:firstRow="0" w:lastRow="0" w:firstColumn="0" w:lastColumn="0" w:noHBand="0" w:noVBand="0" w:val="0000"/>
      </w:tblPr>
      <w:tblGrid>
        <w:gridCol w:w="7920"/>
      </w:tblGrid>
      <w:tr>
        <w:tc>
          <w:tcPr/>
          <w:bookmarkStart w:id="84" w:name="tbl-caudal-corr"/>
          <w:p>
            <w:pPr>
              <w:jc w:val="center"/>
            </w:pPr>
            <w:pPr>
              <w:jc w:val="left"/>
              <w:spacing w:before="200"/>
              <w:pStyle w:val="ImageCaption"/>
            </w:pPr>
            <w:r>
              <w:t xml:space="preserve">Tabla 14: Correlación de Pearson entre anomalía de caudal IDEAM y NDVI z-score, desagregada por estación hidrológica, naturaleza espectral y rezago temporal.</w:t>
            </w:r>
          </w:p>
          <w:tbl>
            <w:tblPr>
              <w:tblStyle w:val="Table"/>
              <w:tblW w:type="pct" w:w="5000"/>
              <w:tblLayout w:type="fixed"/>
              <w:tblLook w:firstRow="1" w:lastRow="0" w:firstColumn="0" w:lastColumn="0" w:noHBand="0" w:noVBand="0" w:val="0020"/>
            </w:tblPr>
            <w:tblGrid>
              <w:gridCol w:w="2692"/>
              <w:gridCol w:w="1742"/>
              <w:gridCol w:w="1267"/>
              <w:gridCol w:w="1425"/>
              <w:gridCol w:w="792"/>
            </w:tblGrid>
            <w:tr>
              <w:trPr>
                <w:tblHeader w:val="on"/>
              </w:trPr>
              <w:tc>
                <w:tcPr/>
                <w:p>
                  <w:pPr>
                    <w:pStyle w:val="Compact"/>
                    <w:jc w:val="center"/>
                  </w:pPr>
                  <w:r>
                    <w:t xml:space="preserve">Estación</w:t>
                  </w:r>
                </w:p>
              </w:tc>
              <w:tc>
                <w:tcPr/>
                <w:p>
                  <w:pPr>
                    <w:pStyle w:val="Compact"/>
                    <w:jc w:val="center"/>
                  </w:pPr>
                  <w:r>
                    <w:t xml:space="preserve">Naturaleza</w:t>
                  </w:r>
                </w:p>
              </w:tc>
              <w:tc>
                <w:tcPr/>
                <w:p>
                  <w:pPr>
                    <w:pStyle w:val="Compact"/>
                    <w:jc w:val="center"/>
                  </w:pPr>
                  <w:r>
                    <w:t xml:space="preserve">Rezago (meses)</w:t>
                  </w:r>
                </w:p>
              </w:tc>
              <w:tc>
                <w:tcPr/>
                <w:p>
                  <w:pPr>
                    <w:pStyle w:val="Compact"/>
                    <w:jc w:val="center"/>
                  </w:pPr>
                  <m:oMath>
                    <m:sSub>
                      <m:e>
                        <m:r>
                          <m:t>ρ</m:t>
                        </m:r>
                      </m:e>
                      <m:sub>
                        <m:r>
                          <m:rPr>
                            <m:nor/>
                            <m:sty m:val="p"/>
                          </m:rPr>
                          <m:t>caudal</m:t>
                        </m:r>
                      </m:sub>
                    </m:sSub>
                  </m:oMath>
                </w:p>
              </w:tc>
              <w:tc>
                <w:tcPr/>
                <w:p>
                  <w:pPr>
                    <w:pStyle w:val="Compact"/>
                    <w:jc w:val="center"/>
                  </w:pPr>
                  <w:r>
                    <w:t xml:space="preserve">n</w:t>
                  </w:r>
                </w:p>
              </w:tc>
            </w:tr>
            <w:tr>
              <w:tc>
                <w:tcPr/>
                <w:p>
                  <w:pPr>
                    <w:pStyle w:val="Compact"/>
                    <w:jc w:val="center"/>
                  </w:pPr>
                  <w:r>
                    <w:t xml:space="preserve">El Banco (Magdalena)</w:t>
                  </w:r>
                </w:p>
              </w:tc>
              <w:tc>
                <w:tcPr/>
                <w:p>
                  <w:pPr>
                    <w:pStyle w:val="Compact"/>
                    <w:jc w:val="center"/>
                  </w:pPr>
                  <w:r>
                    <w:t xml:space="preserve">Manglar</w:t>
                  </w:r>
                </w:p>
              </w:tc>
              <w:tc>
                <w:tcPr/>
                <w:p>
                  <w:pPr>
                    <w:pStyle w:val="Compact"/>
                    <w:jc w:val="center"/>
                  </w:pPr>
                  <w:r>
                    <w:t xml:space="preserve">0</w:t>
                  </w:r>
                </w:p>
              </w:tc>
              <w:tc>
                <w:tcPr/>
                <w:p>
                  <w:pPr>
                    <w:pStyle w:val="Compact"/>
                    <w:jc w:val="center"/>
                  </w:pPr>
                  <m:oMath>
                    <m:r>
                      <m:rPr>
                        <m:sty m:val="p"/>
                      </m:rPr>
                      <m:t>+</m:t>
                    </m:r>
                    <m:r>
                      <m:t>0</m:t>
                    </m:r>
                    <m:r>
                      <m:rPr>
                        <m:sty m:val="p"/>
                      </m:rPr>
                      <m:t>,</m:t>
                    </m:r>
                    <m:r>
                      <m:t>064</m:t>
                    </m:r>
                  </m:oMath>
                </w:p>
              </w:tc>
              <w:tc>
                <w:tcPr/>
                <w:p>
                  <w:pPr>
                    <w:pStyle w:val="Compact"/>
                    <w:jc w:val="center"/>
                  </w:pPr>
                  <w:r>
                    <w:t xml:space="preserve">74</w:t>
                  </w:r>
                </w:p>
              </w:tc>
            </w:tr>
            <w:tr>
              <w:tc>
                <w:tcPr/>
                <w:p>
                  <w:pPr>
                    <w:pStyle w:val="Compact"/>
                    <w:jc w:val="center"/>
                  </w:pPr>
                  <w:r>
                    <w:t xml:space="preserve">El Banco (Magdalena)</w:t>
                  </w:r>
                </w:p>
              </w:tc>
              <w:tc>
                <w:tcPr/>
                <w:p>
                  <w:pPr>
                    <w:pStyle w:val="Compact"/>
                    <w:jc w:val="center"/>
                  </w:pPr>
                  <w:r>
                    <w:t xml:space="preserve">Manglar</w:t>
                  </w:r>
                </w:p>
              </w:tc>
              <w:tc>
                <w:tcPr/>
                <w:p>
                  <w:pPr>
                    <w:pStyle w:val="Compact"/>
                    <w:jc w:val="center"/>
                  </w:pPr>
                  <w:r>
                    <w:t xml:space="preserve">1</w:t>
                  </w:r>
                </w:p>
              </w:tc>
              <w:tc>
                <w:tcPr/>
                <w:p>
                  <w:pPr>
                    <w:pStyle w:val="Compact"/>
                    <w:jc w:val="center"/>
                  </w:pPr>
                  <m:oMath>
                    <m:r>
                      <m:rPr>
                        <m:sty m:val="p"/>
                      </m:rPr>
                      <m:t>+</m:t>
                    </m:r>
                    <m:r>
                      <m:t>0</m:t>
                    </m:r>
                    <m:r>
                      <m:rPr>
                        <m:sty m:val="p"/>
                      </m:rPr>
                      <m:t>,</m:t>
                    </m:r>
                    <m:r>
                      <m:t>039</m:t>
                    </m:r>
                  </m:oMath>
                </w:p>
              </w:tc>
              <w:tc>
                <w:tcPr/>
                <w:p>
                  <w:pPr>
                    <w:pStyle w:val="Compact"/>
                    <w:jc w:val="center"/>
                  </w:pPr>
                  <w:r>
                    <w:t xml:space="preserve">73</w:t>
                  </w:r>
                </w:p>
              </w:tc>
            </w:tr>
            <w:tr>
              <w:tc>
                <w:tcPr/>
                <w:p>
                  <w:pPr>
                    <w:pStyle w:val="Compact"/>
                    <w:jc w:val="center"/>
                  </w:pPr>
                  <w:r>
                    <w:t xml:space="preserve">El Banco (Magdalena)</w:t>
                  </w:r>
                </w:p>
              </w:tc>
              <w:tc>
                <w:tcPr/>
                <w:p>
                  <w:pPr>
                    <w:pStyle w:val="Compact"/>
                    <w:jc w:val="center"/>
                  </w:pPr>
                  <w:r>
                    <w:t xml:space="preserve">Manglar</w:t>
                  </w:r>
                </w:p>
              </w:tc>
              <w:tc>
                <w:tcPr/>
                <w:p>
                  <w:pPr>
                    <w:pStyle w:val="Compact"/>
                    <w:jc w:val="center"/>
                  </w:pPr>
                  <w:r>
                    <w:t xml:space="preserve">2</w:t>
                  </w:r>
                </w:p>
              </w:tc>
              <w:tc>
                <w:tcPr/>
                <w:p>
                  <w:pPr>
                    <w:pStyle w:val="Compact"/>
                    <w:jc w:val="center"/>
                  </w:pPr>
                  <m:oMath>
                    <m:r>
                      <m:rPr>
                        <m:sty m:val="p"/>
                      </m:rPr>
                      <m:t>+</m:t>
                    </m:r>
                    <m:r>
                      <m:t>0</m:t>
                    </m:r>
                    <m:r>
                      <m:rPr>
                        <m:sty m:val="p"/>
                      </m:rPr>
                      <m:t>,</m:t>
                    </m:r>
                    <m:r>
                      <m:t>108</m:t>
                    </m:r>
                  </m:oMath>
                </w:p>
              </w:tc>
              <w:tc>
                <w:tcPr/>
                <w:p>
                  <w:pPr>
                    <w:pStyle w:val="Compact"/>
                    <w:jc w:val="center"/>
                  </w:pPr>
                  <w:r>
                    <w:t xml:space="preserve">72</w:t>
                  </w:r>
                </w:p>
              </w:tc>
            </w:tr>
            <w:tr>
              <w:tc>
                <w:tcPr/>
                <w:p>
                  <w:pPr>
                    <w:pStyle w:val="Compact"/>
                    <w:jc w:val="center"/>
                  </w:pPr>
                  <w:r>
                    <w:t xml:space="preserve">El Banco (Magdalena)</w:t>
                  </w:r>
                </w:p>
              </w:tc>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256</m:t>
                    </m:r>
                  </m:oMath>
                </w:p>
              </w:tc>
              <w:tc>
                <w:tcPr/>
                <w:p>
                  <w:pPr>
                    <w:pStyle w:val="Compact"/>
                    <w:jc w:val="center"/>
                  </w:pPr>
                  <w:r>
                    <w:t xml:space="preserve">71</w:t>
                  </w:r>
                </w:p>
              </w:tc>
            </w:tr>
            <w:tr>
              <w:tc>
                <w:tcPr/>
                <w:p>
                  <w:pPr>
                    <w:pStyle w:val="Compact"/>
                    <w:jc w:val="center"/>
                  </w:pPr>
                  <w:r>
                    <w:t xml:space="preserve">El Banco (Magdalena)</w:t>
                  </w:r>
                </w:p>
              </w:tc>
              <w:tc>
                <w:tcPr/>
                <w:p>
                  <w:pPr>
                    <w:pStyle w:val="Compact"/>
                    <w:jc w:val="center"/>
                  </w:pPr>
                  <w:r>
                    <w:t xml:space="preserve">Limnológica</w:t>
                  </w:r>
                </w:p>
              </w:tc>
              <w:tc>
                <w:tcPr/>
                <w:p>
                  <w:pPr>
                    <w:pStyle w:val="Compact"/>
                    <w:jc w:val="center"/>
                  </w:pPr>
                  <w:r>
                    <w:t xml:space="preserve">0</w:t>
                  </w:r>
                </w:p>
              </w:tc>
              <w:tc>
                <w:tcPr/>
                <w:p>
                  <w:pPr>
                    <w:pStyle w:val="Compact"/>
                    <w:jc w:val="center"/>
                  </w:pPr>
                  <m:oMath>
                    <m:r>
                      <m:rPr>
                        <m:sty m:val="p"/>
                      </m:rPr>
                      <m:t>+</m:t>
                    </m:r>
                    <m:r>
                      <m:t>0</m:t>
                    </m:r>
                    <m:r>
                      <m:rPr>
                        <m:sty m:val="p"/>
                      </m:rPr>
                      <m:t>,</m:t>
                    </m:r>
                    <m:r>
                      <m:t>181</m:t>
                    </m:r>
                  </m:oMath>
                </w:p>
              </w:tc>
              <w:tc>
                <w:tcPr/>
                <w:p>
                  <w:pPr>
                    <w:pStyle w:val="Compact"/>
                    <w:jc w:val="center"/>
                  </w:pPr>
                  <w:r>
                    <w:t xml:space="preserve">61</w:t>
                  </w:r>
                </w:p>
              </w:tc>
            </w:tr>
            <w:tr>
              <w:tc>
                <w:tcPr/>
                <w:p>
                  <w:pPr>
                    <w:pStyle w:val="Compact"/>
                    <w:jc w:val="center"/>
                  </w:pPr>
                  <w:r>
                    <w:t xml:space="preserve">El Banco (Magdalena)</w:t>
                  </w:r>
                </w:p>
              </w:tc>
              <w:tc>
                <w:tcPr/>
                <w:p>
                  <w:pPr>
                    <w:pStyle w:val="Compact"/>
                    <w:jc w:val="center"/>
                  </w:pPr>
                  <w:r>
                    <w:t xml:space="preserve">Limnológica</w:t>
                  </w:r>
                </w:p>
              </w:tc>
              <w:tc>
                <w:tcPr/>
                <w:p>
                  <w:pPr>
                    <w:pStyle w:val="Compact"/>
                    <w:jc w:val="center"/>
                  </w:pPr>
                  <w:r>
                    <w:t xml:space="preserve">1</w:t>
                  </w:r>
                </w:p>
              </w:tc>
              <w:tc>
                <w:tcPr/>
                <w:p>
                  <w:pPr>
                    <w:pStyle w:val="Compact"/>
                    <w:jc w:val="center"/>
                  </w:pPr>
                  <m:oMath>
                    <m:r>
                      <m:rPr>
                        <m:sty m:val="p"/>
                      </m:rPr>
                      <m:t>+</m:t>
                    </m:r>
                    <m:r>
                      <m:t>0</m:t>
                    </m:r>
                    <m:r>
                      <m:rPr>
                        <m:sty m:val="p"/>
                      </m:rPr>
                      <m:t>,</m:t>
                    </m:r>
                    <m:r>
                      <m:t>233</m:t>
                    </m:r>
                  </m:oMath>
                </w:p>
              </w:tc>
              <w:tc>
                <w:tcPr/>
                <w:p>
                  <w:pPr>
                    <w:pStyle w:val="Compact"/>
                    <w:jc w:val="center"/>
                  </w:pPr>
                  <w:r>
                    <w:t xml:space="preserve">60</w:t>
                  </w:r>
                </w:p>
              </w:tc>
            </w:tr>
            <w:tr>
              <w:tc>
                <w:tcPr/>
                <w:p>
                  <w:pPr>
                    <w:pStyle w:val="Compact"/>
                    <w:jc w:val="center"/>
                  </w:pPr>
                  <w:r>
                    <w:t xml:space="preserve">El Banco (Magdalena)</w:t>
                  </w:r>
                </w:p>
              </w:tc>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043</m:t>
                    </m:r>
                  </m:oMath>
                </w:p>
              </w:tc>
              <w:tc>
                <w:tcPr/>
                <w:p>
                  <w:pPr>
                    <w:pStyle w:val="Compact"/>
                    <w:jc w:val="center"/>
                  </w:pPr>
                  <w:r>
                    <w:t xml:space="preserve">59</w:t>
                  </w:r>
                </w:p>
              </w:tc>
            </w:tr>
            <w:tr>
              <w:tc>
                <w:tcPr/>
                <w:p>
                  <w:pPr>
                    <w:pStyle w:val="Compact"/>
                    <w:jc w:val="center"/>
                  </w:pPr>
                  <w:r>
                    <w:t xml:space="preserve">El Banco (Magdalena)</w:t>
                  </w:r>
                </w:p>
              </w:tc>
              <w:tc>
                <w:tcPr/>
                <w:p>
                  <w:pPr>
                    <w:pStyle w:val="Compact"/>
                    <w:jc w:val="center"/>
                  </w:pPr>
                  <w:r>
                    <w:t xml:space="preserve">Limnológica</w:t>
                  </w:r>
                </w:p>
              </w:tc>
              <w:tc>
                <w:tcPr/>
                <w:p>
                  <w:pPr>
                    <w:pStyle w:val="Compact"/>
                    <w:jc w:val="center"/>
                  </w:pPr>
                  <w:r>
                    <w:t xml:space="preserve">3</w:t>
                  </w:r>
                </w:p>
              </w:tc>
              <w:tc>
                <w:tcPr/>
                <w:p>
                  <w:pPr>
                    <w:pStyle w:val="Compact"/>
                    <w:jc w:val="center"/>
                  </w:pPr>
                  <m:oMath>
                    <m:r>
                      <m:rPr>
                        <m:sty m:val="p"/>
                      </m:rPr>
                      <m:t>+</m:t>
                    </m:r>
                    <m:r>
                      <m:t>0</m:t>
                    </m:r>
                    <m:r>
                      <m:rPr>
                        <m:sty m:val="p"/>
                      </m:rPr>
                      <m:t>,</m:t>
                    </m:r>
                    <m:r>
                      <m:t>050</m:t>
                    </m:r>
                  </m:oMath>
                </w:p>
              </w:tc>
              <w:tc>
                <w:tcPr/>
                <w:p>
                  <w:pPr>
                    <w:pStyle w:val="Compact"/>
                    <w:jc w:val="center"/>
                  </w:pPr>
                  <w:r>
                    <w:t xml:space="preserve">58</w:t>
                  </w:r>
                </w:p>
              </w:tc>
            </w:tr>
            <w:tr>
              <w:tc>
                <w:tcPr/>
                <w:p>
                  <w:pPr>
                    <w:pStyle w:val="Compact"/>
                    <w:jc w:val="center"/>
                  </w:pPr>
                  <w:r>
                    <w:t xml:space="preserve">Ganadería Caribe (Aracataca)</w:t>
                  </w:r>
                </w:p>
              </w:tc>
              <w:tc>
                <w:tcPr/>
                <w:p>
                  <w:pPr>
                    <w:pStyle w:val="Compact"/>
                    <w:jc w:val="center"/>
                  </w:pPr>
                  <w:r>
                    <w:t xml:space="preserve">Manglar</w:t>
                  </w:r>
                </w:p>
              </w:tc>
              <w:tc>
                <w:tcPr/>
                <w:p>
                  <w:pPr>
                    <w:pStyle w:val="Compact"/>
                    <w:jc w:val="center"/>
                  </w:pPr>
                  <w:r>
                    <w:t xml:space="preserve">0</w:t>
                  </w:r>
                </w:p>
              </w:tc>
              <w:tc>
                <w:tcPr/>
                <w:p>
                  <w:pPr>
                    <w:pStyle w:val="Compact"/>
                    <w:jc w:val="center"/>
                  </w:pPr>
                  <m:oMath>
                    <m:r>
                      <m:rPr>
                        <m:sty m:val="p"/>
                      </m:rPr>
                      <m:t>+</m:t>
                    </m:r>
                    <m:r>
                      <m:t>0</m:t>
                    </m:r>
                    <m:r>
                      <m:rPr>
                        <m:sty m:val="p"/>
                      </m:rPr>
                      <m:t>,</m:t>
                    </m:r>
                    <m:r>
                      <m:t>196</m:t>
                    </m:r>
                  </m:oMath>
                </w:p>
              </w:tc>
              <w:tc>
                <w:tcPr/>
                <w:p>
                  <w:pPr>
                    <w:pStyle w:val="Compact"/>
                    <w:jc w:val="center"/>
                  </w:pPr>
                  <w:r>
                    <w:t xml:space="preserve">68</w:t>
                  </w:r>
                </w:p>
              </w:tc>
            </w:tr>
            <w:tr>
              <w:tc>
                <w:tcPr/>
                <w:p>
                  <w:pPr>
                    <w:pStyle w:val="Compact"/>
                    <w:jc w:val="center"/>
                  </w:pPr>
                  <w:r>
                    <w:t xml:space="preserve">Ganadería Caribe (Aracataca)</w:t>
                  </w:r>
                </w:p>
              </w:tc>
              <w:tc>
                <w:tcPr/>
                <w:p>
                  <w:pPr>
                    <w:pStyle w:val="Compact"/>
                    <w:jc w:val="center"/>
                  </w:pPr>
                  <w:r>
                    <w:t xml:space="preserve">Manglar</w:t>
                  </w:r>
                </w:p>
              </w:tc>
              <w:tc>
                <w:tcPr/>
                <w:p>
                  <w:pPr>
                    <w:pStyle w:val="Compact"/>
                    <w:jc w:val="center"/>
                  </w:pPr>
                  <w:r>
                    <w:t xml:space="preserve">1</w:t>
                  </w:r>
                </w:p>
              </w:tc>
              <w:tc>
                <w:tcPr/>
                <w:p>
                  <w:pPr>
                    <w:pStyle w:val="Compact"/>
                    <w:jc w:val="center"/>
                  </w:pPr>
                  <m:oMath>
                    <m:r>
                      <m:rPr>
                        <m:sty m:val="p"/>
                      </m:rPr>
                      <m:t>+</m:t>
                    </m:r>
                    <m:r>
                      <m:t>0</m:t>
                    </m:r>
                    <m:r>
                      <m:rPr>
                        <m:sty m:val="p"/>
                      </m:rPr>
                      <m:t>,</m:t>
                    </m:r>
                    <m:r>
                      <m:t>224</m:t>
                    </m:r>
                  </m:oMath>
                </w:p>
              </w:tc>
              <w:tc>
                <w:tcPr/>
                <w:p>
                  <w:pPr>
                    <w:pStyle w:val="Compact"/>
                    <w:jc w:val="center"/>
                  </w:pPr>
                  <w:r>
                    <w:t xml:space="preserve">67</w:t>
                  </w:r>
                </w:p>
              </w:tc>
            </w:tr>
            <w:tr>
              <w:tc>
                <w:tcPr/>
                <w:p>
                  <w:pPr>
                    <w:pStyle w:val="Compact"/>
                    <w:jc w:val="center"/>
                  </w:pPr>
                  <w:r>
                    <w:t xml:space="preserve">Ganadería Caribe (Aracataca)</w:t>
                  </w:r>
                </w:p>
              </w:tc>
              <w:tc>
                <w:tcPr/>
                <w:p>
                  <w:pPr>
                    <w:pStyle w:val="Compact"/>
                    <w:jc w:val="center"/>
                  </w:pPr>
                  <w:r>
                    <w:t xml:space="preserve">Manglar</w:t>
                  </w:r>
                </w:p>
              </w:tc>
              <w:tc>
                <w:tcPr/>
                <w:p>
                  <w:pPr>
                    <w:pStyle w:val="Compact"/>
                    <w:jc w:val="center"/>
                  </w:pPr>
                  <w:r>
                    <w:t xml:space="preserve">2</w:t>
                  </w:r>
                </w:p>
              </w:tc>
              <w:tc>
                <w:tcPr/>
                <w:p>
                  <w:pPr>
                    <w:pStyle w:val="Compact"/>
                    <w:jc w:val="center"/>
                  </w:pPr>
                  <m:oMath>
                    <m:r>
                      <m:rPr>
                        <m:sty m:val="p"/>
                      </m:rPr>
                      <m:t>+</m:t>
                    </m:r>
                    <m:r>
                      <m:t>0</m:t>
                    </m:r>
                    <m:r>
                      <m:rPr>
                        <m:sty m:val="p"/>
                      </m:rPr>
                      <m:t>,</m:t>
                    </m:r>
                    <m:r>
                      <m:t>184</m:t>
                    </m:r>
                  </m:oMath>
                </w:p>
              </w:tc>
              <w:tc>
                <w:tcPr/>
                <w:p>
                  <w:pPr>
                    <w:pStyle w:val="Compact"/>
                    <w:jc w:val="center"/>
                  </w:pPr>
                  <w:r>
                    <w:t xml:space="preserve">66</w:t>
                  </w:r>
                </w:p>
              </w:tc>
            </w:tr>
            <w:tr>
              <w:tc>
                <w:tcPr/>
                <w:p>
                  <w:pPr>
                    <w:pStyle w:val="Compact"/>
                    <w:jc w:val="center"/>
                  </w:pPr>
                  <w:r>
                    <w:t xml:space="preserve">Ganadería Caribe (Aracataca)</w:t>
                  </w:r>
                </w:p>
              </w:tc>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180</m:t>
                    </m:r>
                  </m:oMath>
                </w:p>
              </w:tc>
              <w:tc>
                <w:tcPr/>
                <w:p>
                  <w:pPr>
                    <w:pStyle w:val="Compact"/>
                    <w:jc w:val="center"/>
                  </w:pPr>
                  <w:r>
                    <w:t xml:space="preserve">65</w:t>
                  </w:r>
                </w:p>
              </w:tc>
            </w:tr>
            <w:tr>
              <w:tc>
                <w:tcPr/>
                <w:p>
                  <w:pPr>
                    <w:pStyle w:val="Compact"/>
                    <w:jc w:val="center"/>
                  </w:pPr>
                  <w:r>
                    <w:t xml:space="preserve">Ganadería Caribe (Aracataca)</w:t>
                  </w:r>
                </w:p>
              </w:tc>
              <w:tc>
                <w:tcPr/>
                <w:p>
                  <w:pPr>
                    <w:pStyle w:val="Compact"/>
                    <w:jc w:val="center"/>
                  </w:pPr>
                  <w:r>
                    <w:t xml:space="preserve">Limnológica</w:t>
                  </w:r>
                </w:p>
              </w:tc>
              <w:tc>
                <w:tcPr/>
                <w:p>
                  <w:pPr>
                    <w:pStyle w:val="Compact"/>
                    <w:jc w:val="center"/>
                  </w:pPr>
                  <w:r>
                    <w:t xml:space="preserve">0</w:t>
                  </w:r>
                </w:p>
              </w:tc>
              <w:tc>
                <w:tcPr/>
                <w:p>
                  <w:pPr>
                    <w:pStyle w:val="Compact"/>
                    <w:jc w:val="center"/>
                  </w:pPr>
                  <m:oMath>
                    <m:r>
                      <m:rPr>
                        <m:sty m:val="p"/>
                      </m:rPr>
                      <m:t>+</m:t>
                    </m:r>
                    <m:r>
                      <m:t>0</m:t>
                    </m:r>
                    <m:r>
                      <m:rPr>
                        <m:sty m:val="p"/>
                      </m:rPr>
                      <m:t>,</m:t>
                    </m:r>
                    <m:r>
                      <m:t>107</m:t>
                    </m:r>
                  </m:oMath>
                </w:p>
              </w:tc>
              <w:tc>
                <w:tcPr/>
                <w:p>
                  <w:pPr>
                    <w:pStyle w:val="Compact"/>
                    <w:jc w:val="center"/>
                  </w:pPr>
                  <w:r>
                    <w:t xml:space="preserve">58</w:t>
                  </w:r>
                </w:p>
              </w:tc>
            </w:tr>
            <w:tr>
              <w:tc>
                <w:tcPr/>
                <w:p>
                  <w:pPr>
                    <w:pStyle w:val="Compact"/>
                    <w:jc w:val="center"/>
                  </w:pPr>
                  <w:r>
                    <w:t xml:space="preserve">Ganadería Caribe (Aracataca)</w:t>
                  </w:r>
                </w:p>
              </w:tc>
              <w:tc>
                <w:tcPr/>
                <w:p>
                  <w:pPr>
                    <w:pStyle w:val="Compact"/>
                    <w:jc w:val="center"/>
                  </w:pPr>
                  <w:r>
                    <w:t xml:space="preserve">Limnológica</w:t>
                  </w:r>
                </w:p>
              </w:tc>
              <w:tc>
                <w:tcPr/>
                <w:p>
                  <w:pPr>
                    <w:pStyle w:val="Compact"/>
                    <w:jc w:val="center"/>
                  </w:pPr>
                  <w:r>
                    <w:t xml:space="preserve">1</w:t>
                  </w:r>
                </w:p>
              </w:tc>
              <w:tc>
                <w:tcPr/>
                <w:p>
                  <w:pPr>
                    <w:pStyle w:val="Compact"/>
                    <w:jc w:val="center"/>
                  </w:pPr>
                  <m:oMath>
                    <m:r>
                      <m:rPr>
                        <m:sty m:val="p"/>
                      </m:rPr>
                      <m:t>+</m:t>
                    </m:r>
                    <m:r>
                      <m:t>0</m:t>
                    </m:r>
                    <m:r>
                      <m:rPr>
                        <m:sty m:val="p"/>
                      </m:rPr>
                      <m:t>,</m:t>
                    </m:r>
                    <m:r>
                      <m:t>263</m:t>
                    </m:r>
                  </m:oMath>
                </w:p>
              </w:tc>
              <w:tc>
                <w:tcPr/>
                <w:p>
                  <w:pPr>
                    <w:pStyle w:val="Compact"/>
                    <w:jc w:val="center"/>
                  </w:pPr>
                  <w:r>
                    <w:t xml:space="preserve">57</w:t>
                  </w:r>
                </w:p>
              </w:tc>
            </w:tr>
            <w:tr>
              <w:tc>
                <w:tcPr/>
                <w:p>
                  <w:pPr>
                    <w:pStyle w:val="Compact"/>
                    <w:jc w:val="center"/>
                  </w:pPr>
                  <w:r>
                    <w:t xml:space="preserve">Ganadería Caribe (Aracataca)</w:t>
                  </w:r>
                </w:p>
              </w:tc>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267</m:t>
                    </m:r>
                  </m:oMath>
                </w:p>
              </w:tc>
              <w:tc>
                <w:tcPr/>
                <w:p>
                  <w:pPr>
                    <w:pStyle w:val="Compact"/>
                    <w:jc w:val="center"/>
                  </w:pPr>
                  <w:r>
                    <w:t xml:space="preserve">56</w:t>
                  </w:r>
                </w:p>
              </w:tc>
            </w:tr>
            <w:tr>
              <w:tc>
                <w:tcPr/>
                <w:p>
                  <w:pPr>
                    <w:pStyle w:val="Compact"/>
                    <w:jc w:val="center"/>
                  </w:pPr>
                  <w:r>
                    <w:t xml:space="preserve">Ganadería Caribe (Aracataca)</w:t>
                  </w:r>
                </w:p>
              </w:tc>
              <w:tc>
                <w:tcPr/>
                <w:p>
                  <w:pPr>
                    <w:pStyle w:val="Compact"/>
                    <w:jc w:val="center"/>
                  </w:pPr>
                  <w:r>
                    <w:t xml:space="preserve">Limnológica</w:t>
                  </w:r>
                </w:p>
              </w:tc>
              <w:tc>
                <w:tcPr/>
                <w:p>
                  <w:pPr>
                    <w:pStyle w:val="Compact"/>
                    <w:jc w:val="center"/>
                  </w:pPr>
                  <w:r>
                    <w:t xml:space="preserve">3</w:t>
                  </w:r>
                </w:p>
              </w:tc>
              <w:tc>
                <w:tcPr/>
                <w:p>
                  <w:pPr>
                    <w:pStyle w:val="Compact"/>
                    <w:jc w:val="center"/>
                  </w:pPr>
                  <m:oMath>
                    <m:r>
                      <m:rPr>
                        <m:sty m:val="p"/>
                      </m:rPr>
                      <m:t>+</m:t>
                    </m:r>
                    <m:r>
                      <m:t>0</m:t>
                    </m:r>
                    <m:r>
                      <m:rPr>
                        <m:sty m:val="p"/>
                      </m:rPr>
                      <m:t>,</m:t>
                    </m:r>
                    <m:r>
                      <m:t>150</m:t>
                    </m:r>
                  </m:oMath>
                </w:p>
              </w:tc>
              <w:tc>
                <w:tcPr/>
                <w:p>
                  <w:pPr>
                    <w:pStyle w:val="Compact"/>
                    <w:jc w:val="center"/>
                  </w:pPr>
                  <w:r>
                    <w:t xml:space="preserve">55</w:t>
                  </w:r>
                </w:p>
              </w:tc>
            </w:tr>
          </w:tbl>
          <w:bookmarkEnd w:id="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caudal-series"/>
          <w:p>
            <w:pPr>
              <w:pStyle w:val="Compact"/>
              <w:jc w:val="center"/>
            </w:pPr>
            <w:r>
              <w:drawing>
                <wp:inline>
                  <wp:extent cx="5334000" cy="2945178"/>
                  <wp:effectExtent b="0" l="0" r="0" t="0"/>
                  <wp:docPr descr="" title="" id="86" name="Picture"/>
                  <a:graphic>
                    <a:graphicData uri="http://schemas.openxmlformats.org/drawingml/2006/picture">
                      <pic:pic>
                        <pic:nvPicPr>
                          <pic:cNvPr descr="../outputs/figures/caudal_ideam_series_2013_2025.png" id="87" name="Picture"/>
                          <pic:cNvPicPr>
                            <a:picLocks noChangeArrowheads="1" noChangeAspect="1"/>
                          </pic:cNvPicPr>
                        </pic:nvPicPr>
                        <pic:blipFill>
                          <a:blip r:embed="rId85"/>
                          <a:stretch>
                            <a:fillRect/>
                          </a:stretch>
                        </pic:blipFill>
                        <pic:spPr bwMode="auto">
                          <a:xfrm>
                            <a:off x="0" y="0"/>
                            <a:ext cx="5334000" cy="2945178"/>
                          </a:xfrm>
                          <a:prstGeom prst="rect">
                            <a:avLst/>
                          </a:prstGeom>
                          <a:noFill/>
                          <a:ln w="9525">
                            <a:noFill/>
                            <a:headEnd/>
                            <a:tailEnd/>
                          </a:ln>
                        </pic:spPr>
                      </pic:pic>
                    </a:graphicData>
                  </a:graphic>
                </wp:inline>
              </w:drawing>
            </w:r>
          </w:p>
          <w:p>
            <w:pPr>
              <w:jc w:val="center"/>
            </w:pPr>
            <w:pPr>
              <w:jc w:val="left"/>
              <w:spacing w:before="200"/>
              <w:pStyle w:val="ImageCaption"/>
            </w:pPr>
            <w: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t xml:space="preserve">) ocurren en 2022, no en 2020.</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caudal-correlación"/>
          <w:p>
            <w:pPr>
              <w:pStyle w:val="Compact"/>
              <w:jc w:val="center"/>
            </w:pPr>
            <w:r>
              <w:drawing>
                <wp:inline>
                  <wp:extent cx="5334000" cy="2132771"/>
                  <wp:effectExtent b="0" l="0" r="0" t="0"/>
                  <wp:docPr descr="" title="" id="90" name="Picture"/>
                  <a:graphic>
                    <a:graphicData uri="http://schemas.openxmlformats.org/drawingml/2006/picture">
                      <pic:pic>
                        <pic:nvPicPr>
                          <pic:cNvPr descr="../outputs/figures/caudal_vs_ndvi_correlacion.png" id="91" name="Picture"/>
                          <pic:cNvPicPr>
                            <a:picLocks noChangeArrowheads="1" noChangeAspect="1"/>
                          </pic:cNvPicPr>
                        </pic:nvPicPr>
                        <pic:blipFill>
                          <a:blip r:embed="rId89"/>
                          <a:stretch>
                            <a:fillRect/>
                          </a:stretch>
                        </pic:blipFill>
                        <pic:spPr bwMode="auto">
                          <a:xfrm>
                            <a:off x="0" y="0"/>
                            <a:ext cx="5334000" cy="2132771"/>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Correlación de Pearson entre anomalía de caudal IDEAM y NDVI z-score por estación hidrológica, naturaleza espectral y rezago 0–3 meses.</w:t>
            </w:r>
          </w:p>
          <w:bookmarkEnd w:id="92"/>
        </w:tc>
      </w:tr>
    </w:tbl>
    <w:p>
      <w:pPr>
        <w:pStyle w:val="BodyText"/>
      </w:pPr>
      <w:r>
        <w:rPr>
          <w:b/>
          <w:bCs/>
        </w:rPr>
        <w:t xml:space="preserve">CHIRPS sobre cuencas aportantes (validación independiente).</w:t>
      </w:r>
      <w:r>
        <w:t xml:space="preserve"> </w:t>
      </w:r>
      <w: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t xml:space="preserve"> </w:t>
      </w:r>
      <w:r>
        <w:t xml:space="preserve">vs</w:t>
      </w:r>
      <w:r>
        <w:t xml:space="preserve"> </w:t>
      </w:r>
      <m:oMath>
        <m:sSub>
          <m:e>
            <m:r>
              <m:t>ρ</m:t>
            </m:r>
          </m:e>
          <m:sub>
            <m:r>
              <m:rPr>
                <m:nor/>
                <m:sty m:val="p"/>
              </m:rPr>
              <m:t>IDEAM</m:t>
            </m:r>
          </m:sub>
        </m:sSub>
        <m:r>
          <m:rPr>
            <m:sty m:val="p"/>
          </m:rPr>
          <m:t>=</m:t>
        </m:r>
        <m:r>
          <m:rPr>
            <m:sty m:val="p"/>
          </m:rPr>
          <m:t>+</m:t>
        </m:r>
        <m:r>
          <m:t>0</m:t>
        </m:r>
        <m:r>
          <m:rPr>
            <m:sty m:val="p"/>
          </m:rPr>
          <m:t>,</m:t>
        </m:r>
        <m:r>
          <m:t>256</m:t>
        </m:r>
      </m:oMath>
      <w: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t xml:space="preserve">). Esta</w:t>
      </w:r>
      <w:r>
        <w:t xml:space="preserve"> </w:t>
      </w:r>
      <w:r>
        <w:rPr>
          <w:b/>
          <w:bCs/>
        </w:rPr>
        <w:t xml:space="preserve">doble validación</w:t>
      </w:r>
      <w:r>
        <w:t xml:space="preserve"> </w:t>
      </w:r>
      <w:r>
        <w:t xml:space="preserve">—caudal hidrométrico medido y precipitación satelital sobre la misma cuenca— confirma que el aporte hídrico sostenido es beneficioso para el manglar en escalas de uno a tres meses.</w:t>
      </w:r>
    </w:p>
    <w:tbl>
      <w:tblPr>
        <w:tblStyle w:val="Table"/>
        <w:tblW w:type="pct" w:w="5000"/>
        <w:tblLayout w:type="fixed"/>
        <w:tblLook w:firstRow="0" w:lastRow="0" w:firstColumn="0" w:lastColumn="0" w:noHBand="0" w:noVBand="0" w:val="0000"/>
      </w:tblPr>
      <w:tblGrid>
        <w:gridCol w:w="7920"/>
      </w:tblGrid>
      <w:tr>
        <w:tc>
          <w:tcPr/>
          <w:bookmarkStart w:id="93" w:name="tbl-chirps-corr"/>
          <w:p>
            <w:pPr>
              <w:jc w:val="center"/>
            </w:pPr>
            <w:pPr>
              <w:jc w:val="left"/>
              <w:spacing w:before="200"/>
              <w:pStyle w:val="ImageCaption"/>
            </w:pPr>
            <w:r>
              <w:t xml:space="preserve">Tabla 15: Correlación de Pearson entre anomalía mensual CHIRPS sobre cuencas aportantes y NDVI z-score de las estaciones de la CGSM.</w:t>
            </w:r>
          </w:p>
          <w:tbl>
            <w:tblPr>
              <w:tblStyle w:val="Table"/>
              <w:tblW w:type="pct" w:w="5000"/>
              <w:tblLayout w:type="fixed"/>
              <w:tblLook w:firstRow="1" w:lastRow="0" w:firstColumn="0" w:lastColumn="0" w:noHBand="0" w:noVBand="0" w:val="0020"/>
            </w:tblPr>
            <w:tblGrid>
              <w:gridCol w:w="2217"/>
              <w:gridCol w:w="1742"/>
              <w:gridCol w:w="1425"/>
              <w:gridCol w:w="1742"/>
              <w:gridCol w:w="792"/>
            </w:tblGrid>
            <w:tr>
              <w:trPr>
                <w:tblHeader w:val="on"/>
              </w:trPr>
              <w:tc>
                <w:tcPr/>
                <w:p>
                  <w:pPr>
                    <w:pStyle w:val="Compact"/>
                    <w:jc w:val="center"/>
                  </w:pPr>
                  <w:r>
                    <w:t xml:space="preserve">Cuenca CHIRPS</w:t>
                  </w:r>
                </w:p>
              </w:tc>
              <w:tc>
                <w:tcPr/>
                <w:p>
                  <w:pPr>
                    <w:pStyle w:val="Compact"/>
                    <w:jc w:val="center"/>
                  </w:pPr>
                  <w:r>
                    <w:t xml:space="preserve">Naturaleza</w:t>
                  </w:r>
                </w:p>
              </w:tc>
              <w:tc>
                <w:tcPr/>
                <w:p>
                  <w:pPr>
                    <w:pStyle w:val="Compact"/>
                    <w:jc w:val="center"/>
                  </w:pPr>
                  <w:r>
                    <w:t xml:space="preserve">Rezago (meses)</w:t>
                  </w:r>
                </w:p>
              </w:tc>
              <w:tc>
                <w:tcPr/>
                <w:p>
                  <w:pPr>
                    <w:pStyle w:val="Compact"/>
                    <w:jc w:val="center"/>
                  </w:pPr>
                  <m:oMath>
                    <m:sSub>
                      <m:e>
                        <m:r>
                          <m:t>ρ</m:t>
                        </m:r>
                      </m:e>
                      <m:sub>
                        <m:r>
                          <m:rPr>
                            <m:nor/>
                            <m:sty m:val="p"/>
                          </m:rPr>
                          <m:t>precip</m:t>
                        </m:r>
                      </m:sub>
                    </m:sSub>
                  </m:oMath>
                </w:p>
              </w:tc>
              <w:tc>
                <w:tcPr/>
                <w:p>
                  <w:pPr>
                    <w:pStyle w:val="Compact"/>
                    <w:jc w:val="center"/>
                  </w:pPr>
                  <w:r>
                    <w:t xml:space="preserve">n</w:t>
                  </w:r>
                </w:p>
              </w:tc>
            </w:tr>
            <w:tr>
              <w:tc>
                <w:tcPr/>
                <w:p>
                  <w:pPr>
                    <w:pStyle w:val="Compact"/>
                    <w:jc w:val="center"/>
                  </w:pPr>
                  <w:r>
                    <w:t xml:space="preserve">Magdalena alta-media</w:t>
                  </w:r>
                </w:p>
              </w:tc>
              <w:tc>
                <w:tcPr/>
                <w:p>
                  <w:pPr>
                    <w:pStyle w:val="Compact"/>
                    <w:jc w:val="center"/>
                  </w:pPr>
                  <w:r>
                    <w:t xml:space="preserve">Manglar</w:t>
                  </w:r>
                </w:p>
              </w:tc>
              <w:tc>
                <w:tcPr/>
                <w:p>
                  <w:pPr>
                    <w:pStyle w:val="Compact"/>
                    <w:jc w:val="center"/>
                  </w:pPr>
                  <w:r>
                    <w:t xml:space="preserve">0</w:t>
                  </w:r>
                </w:p>
              </w:tc>
              <w:tc>
                <w:tcPr/>
                <w:p>
                  <w:pPr>
                    <w:pStyle w:val="Compact"/>
                    <w:jc w:val="center"/>
                  </w:pPr>
                  <m:oMath>
                    <m:r>
                      <m:rPr>
                        <m:sty m:val="p"/>
                      </m:rPr>
                      <m:t>+</m:t>
                    </m:r>
                    <m:r>
                      <m:t>0</m:t>
                    </m:r>
                    <m:r>
                      <m:rPr>
                        <m:sty m:val="p"/>
                      </m:rPr>
                      <m:t>,</m:t>
                    </m:r>
                    <m:r>
                      <m:t>075</m:t>
                    </m:r>
                  </m:oMath>
                </w:p>
              </w:tc>
              <w:tc>
                <w:tcPr/>
                <w:p>
                  <w:pPr>
                    <w:pStyle w:val="Compact"/>
                    <w:jc w:val="center"/>
                  </w:pPr>
                  <w:r>
                    <w:t xml:space="preserve">86</w:t>
                  </w:r>
                </w:p>
              </w:tc>
            </w:tr>
            <w:tr>
              <w:tc>
                <w:tcPr/>
                <w:p>
                  <w:pPr>
                    <w:pStyle w:val="Compact"/>
                    <w:jc w:val="center"/>
                  </w:pPr>
                  <w:r>
                    <w:t xml:space="preserve">Magdalena alta-media</w:t>
                  </w:r>
                </w:p>
              </w:tc>
              <w:tc>
                <w:tcPr/>
                <w:p>
                  <w:pPr>
                    <w:pStyle w:val="Compact"/>
                    <w:jc w:val="center"/>
                  </w:pPr>
                  <w:r>
                    <w:t xml:space="preserve">Manglar</w:t>
                  </w:r>
                </w:p>
              </w:tc>
              <w:tc>
                <w:tcPr/>
                <w:p>
                  <w:pPr>
                    <w:pStyle w:val="Compact"/>
                    <w:jc w:val="center"/>
                  </w:pPr>
                  <w:r>
                    <w:t xml:space="preserve">1</w:t>
                  </w:r>
                </w:p>
              </w:tc>
              <w:tc>
                <w:tcPr/>
                <w:p>
                  <w:pPr>
                    <w:pStyle w:val="Compact"/>
                    <w:jc w:val="center"/>
                  </w:pPr>
                  <m:oMath>
                    <m:r>
                      <m:rPr>
                        <m:sty m:val="p"/>
                      </m:rPr>
                      <m:t>+</m:t>
                    </m:r>
                    <m:r>
                      <m:t>0</m:t>
                    </m:r>
                    <m:r>
                      <m:rPr>
                        <m:sty m:val="p"/>
                      </m:rPr>
                      <m:t>,</m:t>
                    </m:r>
                    <m:r>
                      <m:t>170</m:t>
                    </m:r>
                  </m:oMath>
                </w:p>
              </w:tc>
              <w:tc>
                <w:tcPr/>
                <w:p>
                  <w:pPr>
                    <w:pStyle w:val="Compact"/>
                    <w:jc w:val="center"/>
                  </w:pPr>
                  <w:r>
                    <w:t xml:space="preserve">85</w:t>
                  </w:r>
                </w:p>
              </w:tc>
            </w:tr>
            <w:tr>
              <w:tc>
                <w:tcPr/>
                <w:p>
                  <w:pPr>
                    <w:pStyle w:val="Compact"/>
                    <w:jc w:val="center"/>
                  </w:pPr>
                  <w:r>
                    <w:t xml:space="preserve">Magdalena alta-media</w:t>
                  </w:r>
                </w:p>
              </w:tc>
              <w:tc>
                <w:tcPr/>
                <w:p>
                  <w:pPr>
                    <w:pStyle w:val="Compact"/>
                    <w:jc w:val="center"/>
                  </w:pPr>
                  <w:r>
                    <w:t xml:space="preserve">Manglar</w:t>
                  </w:r>
                </w:p>
              </w:tc>
              <w:tc>
                <w:tcPr/>
                <w:p>
                  <w:pPr>
                    <w:pStyle w:val="Compact"/>
                    <w:jc w:val="center"/>
                  </w:pPr>
                  <w:r>
                    <w:t xml:space="preserve">2</w:t>
                  </w:r>
                </w:p>
              </w:tc>
              <w:tc>
                <w:tcPr/>
                <w:p>
                  <w:pPr>
                    <w:pStyle w:val="Compact"/>
                    <w:jc w:val="center"/>
                  </w:pPr>
                  <m:oMath>
                    <m:r>
                      <m:rPr>
                        <m:sty m:val="p"/>
                      </m:rPr>
                      <m:t>+</m:t>
                    </m:r>
                    <m:r>
                      <m:t>0</m:t>
                    </m:r>
                    <m:r>
                      <m:rPr>
                        <m:sty m:val="p"/>
                      </m:rPr>
                      <m:t>,</m:t>
                    </m:r>
                    <m:r>
                      <m:t>097</m:t>
                    </m:r>
                  </m:oMath>
                </w:p>
              </w:tc>
              <w:tc>
                <w:tcPr/>
                <w:p>
                  <w:pPr>
                    <w:pStyle w:val="Compact"/>
                    <w:jc w:val="center"/>
                  </w:pPr>
                  <w:r>
                    <w:t xml:space="preserve">84</w:t>
                  </w:r>
                </w:p>
              </w:tc>
            </w:tr>
            <w:tr>
              <w:tc>
                <w:tcPr/>
                <w:p>
                  <w:pPr>
                    <w:pStyle w:val="Compact"/>
                    <w:jc w:val="center"/>
                  </w:pPr>
                  <w:r>
                    <w:t xml:space="preserve">Magdalena alta-media</w:t>
                  </w:r>
                </w:p>
              </w:tc>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252</m:t>
                    </m:r>
                  </m:oMath>
                </w:p>
              </w:tc>
              <w:tc>
                <w:tcPr/>
                <w:p>
                  <w:pPr>
                    <w:pStyle w:val="Compact"/>
                    <w:jc w:val="center"/>
                  </w:pPr>
                  <w:r>
                    <w:t xml:space="preserve">83</w:t>
                  </w:r>
                </w:p>
              </w:tc>
            </w:tr>
            <w:tr>
              <w:tc>
                <w:tcPr/>
                <w:p>
                  <w:pPr>
                    <w:pStyle w:val="Compact"/>
                    <w:jc w:val="center"/>
                  </w:pPr>
                  <w:r>
                    <w:t xml:space="preserve">Magdalena alta-media</w:t>
                  </w:r>
                </w:p>
              </w:tc>
              <w:tc>
                <w:tcPr/>
                <w:p>
                  <w:pPr>
                    <w:pStyle w:val="Compact"/>
                    <w:jc w:val="center"/>
                  </w:pPr>
                  <w:r>
                    <w:t xml:space="preserve">Limnológica</w:t>
                  </w:r>
                </w:p>
              </w:tc>
              <w:tc>
                <w:tcPr/>
                <w:p>
                  <w:pPr>
                    <w:pStyle w:val="Compact"/>
                    <w:jc w:val="center"/>
                  </w:pPr>
                  <w:r>
                    <w:t xml:space="preserve">0</w:t>
                  </w:r>
                </w:p>
              </w:tc>
              <w:tc>
                <w:tcPr/>
                <w:p>
                  <w:pPr>
                    <w:pStyle w:val="Compact"/>
                    <w:jc w:val="center"/>
                  </w:pPr>
                  <m:oMath>
                    <m:r>
                      <m:rPr>
                        <m:sty m:val="p"/>
                      </m:rPr>
                      <m:t>+</m:t>
                    </m:r>
                    <m:r>
                      <m:t>0</m:t>
                    </m:r>
                    <m:r>
                      <m:rPr>
                        <m:sty m:val="p"/>
                      </m:rPr>
                      <m:t>,</m:t>
                    </m:r>
                    <m:r>
                      <m:t>276</m:t>
                    </m:r>
                  </m:oMath>
                </w:p>
              </w:tc>
              <w:tc>
                <w:tcPr/>
                <w:p>
                  <w:pPr>
                    <w:pStyle w:val="Compact"/>
                    <w:jc w:val="center"/>
                  </w:pPr>
                  <w:r>
                    <w:t xml:space="preserve">72</w:t>
                  </w:r>
                </w:p>
              </w:tc>
            </w:tr>
            <w:tr>
              <w:tc>
                <w:tcPr/>
                <w:p>
                  <w:pPr>
                    <w:pStyle w:val="Compact"/>
                    <w:jc w:val="center"/>
                  </w:pPr>
                  <w:r>
                    <w:t xml:space="preserve">Magdalena alta-media</w:t>
                  </w:r>
                </w:p>
              </w:tc>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268</m:t>
                    </m:r>
                  </m:oMath>
                </w:p>
              </w:tc>
              <w:tc>
                <w:tcPr/>
                <w:p>
                  <w:pPr>
                    <w:pStyle w:val="Compact"/>
                    <w:jc w:val="center"/>
                  </w:pPr>
                  <w:r>
                    <w:t xml:space="preserve">70</w:t>
                  </w:r>
                </w:p>
              </w:tc>
            </w:tr>
            <w:tr>
              <w:tc>
                <w:tcPr/>
                <w:p>
                  <w:pPr>
                    <w:pStyle w:val="Compact"/>
                    <w:jc w:val="center"/>
                  </w:pPr>
                  <w:r>
                    <w:t xml:space="preserve">Sierra Nevada oeste</w:t>
                  </w:r>
                </w:p>
              </w:tc>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281</m:t>
                    </m:r>
                  </m:oMath>
                </w:p>
              </w:tc>
              <w:tc>
                <w:tcPr/>
                <w:p>
                  <w:pPr>
                    <w:pStyle w:val="Compact"/>
                    <w:jc w:val="center"/>
                  </w:pPr>
                  <w:r>
                    <w:t xml:space="preserve">83</w:t>
                  </w:r>
                </w:p>
              </w:tc>
            </w:tr>
            <w:tr>
              <w:tc>
                <w:tcPr/>
                <w:p>
                  <w:pPr>
                    <w:pStyle w:val="Compact"/>
                    <w:jc w:val="center"/>
                  </w:pPr>
                  <w:r>
                    <w:t xml:space="preserve">Sierra Nevada oeste</w:t>
                  </w:r>
                </w:p>
              </w:tc>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359</m:t>
                    </m:r>
                  </m:oMath>
                </w:p>
              </w:tc>
              <w:tc>
                <w:tcPr/>
                <w:p>
                  <w:pPr>
                    <w:pStyle w:val="Compact"/>
                    <w:jc w:val="center"/>
                  </w:pPr>
                  <w:r>
                    <w:t xml:space="preserve">70</w:t>
                  </w:r>
                </w:p>
              </w:tc>
            </w:tr>
          </w:tbl>
          <w:bookmarkEnd w:id="9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chirps-series"/>
          <w:p>
            <w:pPr>
              <w:pStyle w:val="Compact"/>
              <w:jc w:val="center"/>
            </w:pPr>
            <w:r>
              <w:drawing>
                <wp:inline>
                  <wp:extent cx="5334000" cy="3191435"/>
                  <wp:effectExtent b="0" l="0" r="0" t="0"/>
                  <wp:docPr descr="" title="" id="95" name="Picture"/>
                  <a:graphic>
                    <a:graphicData uri="http://schemas.openxmlformats.org/drawingml/2006/picture">
                      <pic:pic>
                        <pic:nvPicPr>
                          <pic:cNvPr descr="../outputs/figures/chirps_serie_cuencas_2013_2025.png" id="96" name="Picture"/>
                          <pic:cNvPicPr>
                            <a:picLocks noChangeArrowheads="1" noChangeAspect="1"/>
                          </pic:cNvPicPr>
                        </pic:nvPicPr>
                        <pic:blipFill>
                          <a:blip r:embed="rId94"/>
                          <a:stretch>
                            <a:fillRect/>
                          </a:stretch>
                        </pic:blipFill>
                        <pic:spPr bwMode="auto">
                          <a:xfrm>
                            <a:off x="0" y="0"/>
                            <a:ext cx="5334000" cy="3191435"/>
                          </a:xfrm>
                          <a:prstGeom prst="rect">
                            <a:avLst/>
                          </a:prstGeom>
                          <a:noFill/>
                          <a:ln w="9525">
                            <a:noFill/>
                            <a:headEnd/>
                            <a:tailEnd/>
                          </a:ln>
                        </pic:spPr>
                      </pic:pic>
                    </a:graphicData>
                  </a:graphic>
                </wp:inline>
              </w:drawing>
            </w:r>
          </w:p>
          <w:p>
            <w:pPr>
              <w:jc w:val="center"/>
            </w:pPr>
            <w:pPr>
              <w:jc w:val="left"/>
              <w:spacing w:before="200"/>
              <w:pStyle w:val="ImageCaption"/>
            </w:pPr>
            <w:r>
              <w:t xml:space="preserve">Figura 9: Anomalías mensuales CHIRPS sobre las dos cuencas aportantes a la CGSM, 2013–2025. Los picos extremos</w:t>
            </w:r>
            <w:r>
              <w:t xml:space="preserve"> </w:t>
            </w:r>
            <m:oMath>
              <m:r>
                <m:t>z</m:t>
              </m:r>
              <m:r>
                <m:rPr>
                  <m:sty m:val="p"/>
                </m:rPr>
                <m:t>&gt;</m:t>
              </m:r>
              <m:r>
                <m:rPr>
                  <m:sty m:val="p"/>
                </m:rPr>
                <m:t>+</m:t>
              </m:r>
              <m:r>
                <m:t>2</m:t>
              </m:r>
            </m:oMath>
            <w:r>
              <w:t xml:space="preserve"> </w:t>
            </w:r>
            <w:r>
              <w:t xml:space="preserve">se concentran en 2022, en línea con los caudales IDEAM (figura</w:t>
            </w:r>
            <w:r>
              <w:t xml:space="preserve"> </w:t>
            </w:r>
            <w:hyperlink w:anchor="fig-caudal-series">
              <w:r>
                <w:rPr>
                  <w:rStyle w:val="Hyperlink"/>
                </w:rPr>
                <w:t xml:space="preserve">figura 7</w:t>
              </w:r>
            </w:hyperlink>
            <w:r>
              <w:t xml:space="preserve">).</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chirps-correlación"/>
          <w:p>
            <w:pPr>
              <w:pStyle w:val="Compact"/>
              <w:jc w:val="center"/>
            </w:pPr>
            <w:r>
              <w:drawing>
                <wp:inline>
                  <wp:extent cx="5334000" cy="3648752"/>
                  <wp:effectExtent b="0" l="0" r="0" t="0"/>
                  <wp:docPr descr="" title="" id="99" name="Picture"/>
                  <a:graphic>
                    <a:graphicData uri="http://schemas.openxmlformats.org/drawingml/2006/picture">
                      <pic:pic>
                        <pic:nvPicPr>
                          <pic:cNvPr descr="../outputs/figures/chirps_vs_ndvi_correlacion.png" id="100" name="Picture"/>
                          <pic:cNvPicPr>
                            <a:picLocks noChangeArrowheads="1" noChangeAspect="1"/>
                          </pic:cNvPicPr>
                        </pic:nvPicPr>
                        <pic:blipFill>
                          <a:blip r:embed="rId98"/>
                          <a:stretch>
                            <a:fillRect/>
                          </a:stretch>
                        </pic:blipFill>
                        <pic:spPr bwMode="auto">
                          <a:xfrm>
                            <a:off x="0" y="0"/>
                            <a:ext cx="5334000" cy="3648752"/>
                          </a:xfrm>
                          <a:prstGeom prst="rect">
                            <a:avLst/>
                          </a:prstGeom>
                          <a:noFill/>
                          <a:ln w="9525">
                            <a:noFill/>
                            <a:headEnd/>
                            <a:tailEnd/>
                          </a:ln>
                        </pic:spPr>
                      </pic:pic>
                    </a:graphicData>
                  </a:graphic>
                </wp:inline>
              </w:drawing>
            </w:r>
          </w:p>
          <w:p>
            <w:pPr>
              <w:jc w:val="center"/>
            </w:pPr>
            <w:pPr>
              <w:jc w:val="left"/>
              <w:spacing w:before="200"/>
              <w:pStyle w:val="ImageCaption"/>
            </w:pPr>
            <w:r>
              <w:t xml:space="preserve">Figura 10: Correlación de Pearson entre anomalía mensual CHIRPS y NDVI z-score por cuenca y naturaleza espectral. La convergencia con el caudal IDEAM (figura</w:t>
            </w:r>
            <w:r>
              <w:t xml:space="preserve"> </w:t>
            </w:r>
            <w:hyperlink w:anchor="fig-caudal-correlación">
              <w:r>
                <w:rPr>
                  <w:rStyle w:val="Hyperlink"/>
                </w:rPr>
                <w:t xml:space="preserve">figura 8</w:t>
              </w:r>
            </w:hyperlink>
            <w:r>
              <w:t xml:space="preserve">) ofrece doble validación.</w:t>
            </w:r>
          </w:p>
          <w:bookmarkEnd w:id="101"/>
        </w:tc>
      </w:tr>
    </w:tbl>
    <w:p>
      <w:pPr>
        <w:pStyle w:val="BodyText"/>
      </w:pPr>
      <w:r>
        <w:rPr>
          <w:b/>
          <w:bCs/>
        </w:rPr>
        <w:t xml:space="preserve">Síntesis: reformulación de la cadena causal en cuatro pasos.</w:t>
      </w:r>
      <w:r>
        <w:t xml:space="preserve"> </w:t>
      </w:r>
      <w:r>
        <w:t xml:space="preserve">La convergencia de las cuatro fuentes obliga a matizar la lectura ingenua del evento de septiembre 2020.</w:t>
      </w:r>
      <w:r>
        <w:t xml:space="preserve"> </w:t>
      </w:r>
      <w:r>
        <w:rPr>
          <w:i/>
          <w:iCs/>
        </w:rPr>
        <w:t xml:space="preserve">Primero</w:t>
      </w:r>
      <w:r>
        <w:t xml:space="preserve">, el episodio La Niña 2020–2021 induce un régimen prolongado de mayor precipitación regional —visible en ERA5, ENSO (SOI positivo), caudal y CHIRPS— que se acumula progresivamente en los caudales fluviales hasta alcanzar valores extremos en 2022.</w:t>
      </w:r>
      <w:r>
        <w:t xml:space="preserve"> </w:t>
      </w:r>
      <w:r>
        <w:rPr>
          <w:i/>
          <w:iCs/>
        </w:rPr>
        <w:t xml:space="preserve">Segundo</w:t>
      </w:r>
      <w:r>
        <w:t xml:space="preserve">, el aporte sostenido de caudal en la mayor parte del periodo es</w:t>
      </w:r>
      <w:r>
        <w:t xml:space="preserve"> </w:t>
      </w:r>
      <w:r>
        <w:rPr>
          <w:b/>
          <w:bCs/>
        </w:rPr>
        <w:t xml:space="preserve">beneficioso</w:t>
      </w:r>
      <w:r>
        <w:t xml:space="preserve"> </w:t>
      </w:r>
      <w:r>
        <w:t xml:space="preserve">para el manglar pues reduce la hipersalinización del sustrato, lo que explica las correlaciones positivas universales con NDVI tanto en IDEAM como en CHIRPS.</w:t>
      </w:r>
      <w:r>
        <w:t xml:space="preserve"> </w:t>
      </w:r>
      <w:r>
        <w:rPr>
          <w:i/>
          <w:iCs/>
        </w:rPr>
        <w:t xml:space="preserve">Tercero</w:t>
      </w:r>
      <w:r>
        <w:t xml:space="preserve">, el evento puntual de mortandad de septiembre 2020</w:t>
      </w:r>
      <w:r>
        <w:t xml:space="preserve"> </w:t>
      </w:r>
      <w:r>
        <w:rPr>
          <w:b/>
          <w:bCs/>
        </w:rPr>
        <w:t xml:space="preserve">no se explica por un pico de caudal simultáneo</w:t>
      </w:r>
      <w:r>
        <w:t xml:space="preserve"> </w:t>
      </w:r>
      <w:r>
        <w:t xml:space="preserve">—que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t xml:space="preserve"> </w:t>
      </w:r>
      <w:r>
        <w:t xml:space="preserve">a dos meses) acompañada de inundación bajo dosel detectable por SAR (43,08 km², tabla</w:t>
      </w:r>
      <w:r>
        <w:t xml:space="preserve"> </w:t>
      </w:r>
      <w:hyperlink w:anchor="tbl-sar">
        <w:r>
          <w:rPr>
            <w:rStyle w:val="Hyperlink"/>
          </w:rPr>
          <w:t xml:space="preserve">tabla 17</w:t>
        </w:r>
      </w:hyperlink>
      <w:r>
        <w:t xml:space="preserve">).</w:t>
      </w:r>
      <w:r>
        <w:t xml:space="preserve"> </w:t>
      </w:r>
      <w:r>
        <w:rPr>
          <w:i/>
          <w:iCs/>
        </w:rPr>
        <w:t xml:space="preserve">Cuarto</w:t>
      </w:r>
      <w:r>
        <w:t xml:space="preserve">, los efectos de mediano plazo del régimen La Niña se manifiestan en los quiebres bfast de 2022 sobre CP Aguas Negras y CP Luna (tabla</w:t>
      </w:r>
      <w:r>
        <w:t xml:space="preserve"> </w:t>
      </w:r>
      <w:hyperlink w:anchor="tbl-bfast-unificado">
        <w:r>
          <w:rPr>
            <w:rStyle w:val="Hyperlink"/>
          </w:rPr>
          <w:t xml:space="preserve">tabla 8</w:t>
        </w:r>
      </w:hyperlink>
      <w:r>
        <w:t xml:space="preserve">), periodo en el cual los caudales alcanzan su máximo histórico. Esta reformulación honra los datos sin renunciar a la atribución climática del evento de 2020 a La Niña, en el entendido de que la mediación entre el forzante atmosférico global y la respuesta espectral local del manglar opera a través de procesos hidrológicos multiescalares que ningún forzante único captura por sí solo.</w:t>
      </w:r>
    </w:p>
    <w:bookmarkEnd w:id="102"/>
    <w:bookmarkStart w:id="107" w:name="X1719a00c63a18855820e8063cc3014d3e319aea"/>
    <w:p>
      <w:pPr>
        <w:pStyle w:val="Heading2"/>
      </w:pPr>
      <w:r>
        <w:t xml:space="preserve">9.8 Validación cruzada multilingüe Python + R + Julia</w:t>
      </w:r>
    </w:p>
    <w:p>
      <w:pPr>
        <w:pStyle w:val="FirstParagraph"/>
      </w:pPr>
      <w:r>
        <w:t xml:space="preserve">La naturaleza multilingüe del proyecto se verifica mediante</w:t>
      </w:r>
      <w:r>
        <w:t xml:space="preserve"> </w:t>
      </w:r>
      <w:r>
        <w:rPr>
          <w:b/>
          <w:bCs/>
        </w:rPr>
        <w:t xml:space="preserve">cuatro validaciones cruzadas</w:t>
      </w:r>
      <w:r>
        <w:t xml:space="preserve"> </w:t>
      </w:r>
      <w:r>
        <w:t xml:space="preserve">ejecutadas sobre los análisis más relevantes del informe, que confirman que las conclusiones no dependen del entorno computacional. (i)</w:t>
      </w:r>
      <w:r>
        <w:t xml:space="preserve"> </w:t>
      </w:r>
      <w:r>
        <w:rPr>
          <w:b/>
          <w:bCs/>
        </w:rPr>
        <w:t xml:space="preserve">Series NDVI Python ↔ R</w:t>
      </w:r>
      <w:r>
        <w:t xml:space="preserve">: el flujo de extracción</w:t>
      </w:r>
      <w:r>
        <w:t xml:space="preserve"> </w:t>
      </w:r>
      <w:r>
        <w:rPr>
          <w:rStyle w:val="VerbatimChar"/>
        </w:rPr>
        <w:t xml:space="preserve">stars::st_extract</w:t>
      </w:r>
      <w:r>
        <w:t xml:space="preserve"> </w:t>
      </w:r>
      <w:r>
        <w:t xml:space="preserve">sobre el cubo trimestral en R reproduce la serie de</w:t>
      </w:r>
      <w:r>
        <w:t xml:space="preserve"> </w:t>
      </w:r>
      <w:r>
        <w:rPr>
          <w:rStyle w:val="VerbatimChar"/>
        </w:rPr>
        <w:t xml:space="preserve">reduceRegions</w:t>
      </w:r>
      <w:r>
        <w:t xml:space="preserve"> </w:t>
      </w:r>
      <w:r>
        <w:t xml:space="preserve">en GEE con</w:t>
      </w:r>
      <w:r>
        <w:t xml:space="preserve"> </w:t>
      </w:r>
      <m:oMath>
        <m:r>
          <m:t>ρ</m:t>
        </m:r>
        <m:r>
          <m:rPr>
            <m:sty m:val="p"/>
          </m:rPr>
          <m:t>&gt;</m:t>
        </m:r>
        <m:r>
          <m:t>0</m:t>
        </m:r>
        <m:r>
          <m:rPr>
            <m:sty m:val="p"/>
          </m:rPr>
          <m:t>,</m:t>
        </m:r>
        <m:r>
          <m:t>95</m:t>
        </m:r>
      </m:oMath>
      <w:r>
        <w:t xml:space="preserve"> </w:t>
      </w:r>
      <w:r>
        <w:t xml:space="preserve">y RMSE &lt; 0,05 unidades NDVI sobre las ocho estaciones. (ii)</w:t>
      </w:r>
      <w:r>
        <w:t xml:space="preserve"> </w:t>
      </w:r>
      <w:r>
        <w:rPr>
          <w:b/>
          <w:bCs/>
        </w:rPr>
        <w:t xml:space="preserve">Correlación caudal-NDVI trilingüe Python = R = Julia</w:t>
      </w:r>
      <w:r>
        <w:t xml:space="preserve"> </w:t>
      </w:r>
      <w:r>
        <w:t xml:space="preserve">(notebook</w:t>
      </w:r>
      <w:r>
        <w:t xml:space="preserve"> </w:t>
      </w:r>
      <w:r>
        <w:rPr>
          <w:rStyle w:val="VerbatimChar"/>
        </w:rPr>
        <w:t xml:space="preserve">14_validacion_trilingual.ipynb</w:t>
      </w:r>
      <w:r>
        <w:t xml:space="preserve">, figura</w:t>
      </w:r>
      <w:r>
        <w:t xml:space="preserve"> </w:t>
      </w:r>
      <w:hyperlink w:anchor="fig-trilingual">
        <w:r>
          <w:rPr>
            <w:rStyle w:val="Hyperlink"/>
          </w:rPr>
          <w:t xml:space="preserve">figura 11</w:t>
        </w:r>
      </w:hyperlink>
      <w:r>
        <w:t xml:space="preserve">): los tres lenguajes producen valores idénticos hasta tres decimales —</w:t>
      </w:r>
      <m:oMath>
        <m:r>
          <m:t>ρ</m:t>
        </m:r>
        <m:r>
          <m:rPr>
            <m:sty m:val="p"/>
          </m:rPr>
          <m:t>=</m:t>
        </m:r>
        <m:r>
          <m:t>0</m:t>
        </m:r>
        <m:r>
          <m:rPr>
            <m:sty m:val="p"/>
          </m:rPr>
          <m:t>,</m:t>
        </m:r>
        <m:r>
          <m:t>064</m:t>
        </m:r>
      </m:oMath>
      <w:r>
        <w:t xml:space="preserve"> </w:t>
      </w:r>
      <w:r>
        <w:t xml:space="preserve">/</w:t>
      </w:r>
      <w:r>
        <w:t xml:space="preserve"> </w:t>
      </w:r>
      <m:oMath>
        <m:r>
          <m:t>0</m:t>
        </m:r>
        <m:r>
          <m:rPr>
            <m:sty m:val="p"/>
          </m:rPr>
          <m:t>,</m:t>
        </m:r>
        <m:r>
          <m:t>039</m:t>
        </m:r>
      </m:oMath>
      <w:r>
        <w:t xml:space="preserve"> </w:t>
      </w:r>
      <w:r>
        <w:t xml:space="preserve">/</w:t>
      </w:r>
      <w:r>
        <w:t xml:space="preserve"> </w:t>
      </w:r>
      <m:oMath>
        <m:r>
          <m:t>0</m:t>
        </m:r>
        <m:r>
          <m:rPr>
            <m:sty m:val="p"/>
          </m:rPr>
          <m:t>,</m:t>
        </m:r>
        <m:r>
          <m:t>108</m:t>
        </m:r>
      </m:oMath>
      <w:r>
        <w:t xml:space="preserve"> </w:t>
      </w:r>
      <w:r>
        <w:t xml:space="preserve">/</w:t>
      </w:r>
      <w:r>
        <w:t xml:space="preserve"> </w:t>
      </w:r>
      <m:oMath>
        <m:r>
          <m:t>0</m:t>
        </m:r>
        <m:r>
          <m:rPr>
            <m:sty m:val="p"/>
          </m:rPr>
          <m:t>,</m:t>
        </m:r>
        <m:r>
          <m:t>256</m:t>
        </m:r>
      </m:oMath>
      <w:r>
        <w:t xml:space="preserve"> </w:t>
      </w:r>
      <w:r>
        <w:t xml:space="preserve">para los rezagos 0 a 3 meses— con diferencia máxima del orden de</w:t>
      </w:r>
      <w:r>
        <w:t xml:space="preserve"> </w:t>
      </w:r>
      <m:oMath>
        <m:sSup>
          <m:e>
            <m:r>
              <m:t>10</m:t>
            </m:r>
          </m:e>
          <m:sup>
            <m:r>
              <m:rPr>
                <m:sty m:val="p"/>
              </m:rPr>
              <m:t>−</m:t>
            </m:r>
            <m:r>
              <m:t>4</m:t>
            </m:r>
          </m:sup>
        </m:sSup>
      </m:oMath>
      <w:r>
        <w:t xml:space="preserve">. (iii)</w:t>
      </w:r>
      <w:r>
        <w:t xml:space="preserve"> </w:t>
      </w:r>
      <w:r>
        <w:rPr>
          <w:b/>
          <w:bCs/>
        </w:rPr>
        <w:t xml:space="preserve">Topología DE-9IM Python ↔ Julia</w:t>
      </w:r>
      <w:r>
        <w:t xml:space="preserve"> </w:t>
      </w:r>
      <w:r>
        <w:t xml:space="preserve">(notebook</w:t>
      </w:r>
      <w:r>
        <w:t xml:space="preserve"> </w:t>
      </w:r>
      <w:r>
        <w:rPr>
          <w:rStyle w:val="VerbatimChar"/>
        </w:rPr>
        <w:t xml:space="preserve">04c_topologia_julia.ipynb</w:t>
      </w:r>
      <w:r>
        <w:t xml:space="preserve">):</w:t>
      </w:r>
      <w:r>
        <w:t xml:space="preserve"> </w:t>
      </w:r>
      <w:r>
        <w:rPr>
          <w:rStyle w:val="VerbatimChar"/>
        </w:rPr>
        <w:t xml:space="preserve">LibGEOS.jl</w:t>
      </w:r>
      <w:r>
        <w:t xml:space="preserve"> </w:t>
      </w:r>
      <w:r>
        <w:t xml:space="preserve">en Julia produce conteos idénticos a</w:t>
      </w:r>
      <w:r>
        <w:t xml:space="preserve"> </w:t>
      </w:r>
      <w:r>
        <w:rPr>
          <w:rStyle w:val="VerbatimChar"/>
        </w:rPr>
        <w:t xml:space="preserve">geopandas</w:t>
      </w:r>
      <w:r>
        <w:t xml:space="preserve"> </w:t>
      </w:r>
      <w:r>
        <w:t xml:space="preserve">+</w:t>
      </w:r>
      <w:r>
        <w:t xml:space="preserve"> </w:t>
      </w:r>
      <w:r>
        <w:rPr>
          <w:rStyle w:val="VerbatimChar"/>
        </w:rPr>
        <w:t xml:space="preserve">shapely</w:t>
      </w:r>
      <w:r>
        <w:t xml:space="preserve"> </w:t>
      </w:r>
      <w:r>
        <w:t xml:space="preserve">para parches totales y en borde sobre los tres periodos (17/6, 17/8 y 15/8 con proporciones de borde 35,3 %, 47,1 % y 53,3 %). (iv)</w:t>
      </w:r>
      <w:r>
        <w:t xml:space="preserve"> </w:t>
      </w:r>
      <w:r>
        <w:rPr>
          <w:b/>
          <w:bCs/>
        </w:rPr>
        <w:t xml:space="preserve">Análisis hidroclimáticos Python ↔ R</w:t>
      </w:r>
      <w:r>
        <w:t xml:space="preserve">: las réplicas en R de los índices ENSO (</w:t>
      </w:r>
      <w:r>
        <w:rPr>
          <w:rStyle w:val="VerbatimChar"/>
        </w:rPr>
        <w:t xml:space="preserve">11b_indices_enso_noaa_R.ipynb</w:t>
      </w:r>
      <w:r>
        <w:t xml:space="preserve">) y del caudal IDEAM (</w:t>
      </w:r>
      <w:r>
        <w:rPr>
          <w:rStyle w:val="VerbatimChar"/>
        </w:rPr>
        <w:t xml:space="preserve">12c_caudal_ideam_R.ipynb</w:t>
      </w:r>
      <w:r>
        <w:t xml:space="preserve">) reproducen hasta tres decimales las dieciséis filas de</w:t>
      </w:r>
      <w:r>
        <w:t xml:space="preserve"> </w:t>
      </w:r>
      <w:hyperlink w:anchor="tbl-caudal-corr">
        <w:r>
          <w:rPr>
            <w:rStyle w:val="Hyperlink"/>
          </w:rPr>
          <w:t xml:space="preserve">tabla 14</w:t>
        </w:r>
      </w:hyperlink>
      <w:r>
        <w:t xml:space="preserve"> </w:t>
      </w:r>
      <w:r>
        <w:t xml:space="preserve">y las ocho de</w:t>
      </w:r>
      <w:r>
        <w:t xml:space="preserve"> </w:t>
      </w:r>
      <w:hyperlink w:anchor="tbl-enso-corr">
        <w:r>
          <w:rPr>
            <w:rStyle w:val="Hyperlink"/>
          </w:rPr>
          <w:t xml:space="preserve">tabla 13</w:t>
        </w:r>
      </w:hyperlink>
      <w:r>
        <w:t xml:space="preserve"> </w:t>
      </w:r>
      <w:r>
        <w:t xml:space="preserve">—incluido el valor pico</w:t>
      </w:r>
      <w:r>
        <w:t xml:space="preserve"> </w:t>
      </w:r>
      <m:oMath>
        <m:sSup>
          <m:e>
            <m:r>
              <m:t>ρ</m:t>
            </m:r>
          </m:e>
          <m:sup>
            <m:r>
              <m:rPr>
                <m:nor/>
                <m:sty m:val="p"/>
              </m:rPr>
              <m:t>El Banco, manglar, lag 3</m:t>
            </m:r>
          </m:sup>
        </m:sSup>
        <m:r>
          <m:rPr>
            <m:sty m:val="p"/>
          </m:rPr>
          <m:t>=</m:t>
        </m:r>
        <m:r>
          <m:rPr>
            <m:sty m:val="p"/>
          </m:rPr>
          <m:t>+</m:t>
        </m:r>
        <m:r>
          <m:t>0</m:t>
        </m:r>
        <m:r>
          <m:rPr>
            <m:sty m:val="p"/>
          </m:rPr>
          <m:t>,</m:t>
        </m:r>
        <m:r>
          <m:t>256</m:t>
        </m:r>
      </m:oMath>
      <w:r>
        <w:t xml:space="preserve"> </w:t>
      </w:r>
      <w:r>
        <w:t xml:space="preserve">que sostiene la interpretación del informe.</w:t>
      </w:r>
    </w:p>
    <w:p>
      <w:pPr>
        <w:pStyle w:val="BodyText"/>
      </w:pPr>
      <w:r>
        <w:t xml:space="preserve">La consistencia entre estas cuatro validaciones confirma que la elección de Python para GEE y SamGeo, R para bfast y series ecohidrológicas, y Julia para fragmentación y predicados DE-9IM con</w:t>
      </w:r>
      <w:r>
        <w:t xml:space="preserve"> </w:t>
      </w:r>
      <w:r>
        <w:rPr>
          <w:rStyle w:val="VerbatimChar"/>
        </w:rPr>
        <w:t xml:space="preserve">LibGEOS.jl</w:t>
      </w:r>
      <w:r>
        <w:t xml:space="preserve"> </w:t>
      </w:r>
      <w:r>
        <w:t xml:space="preserve">obedece a la conveniencia disciplinar de cada lenguaje y no a una restricción metodológica, así el pipeline constituye una arquitectura interoperable cuyas salidas son reproducibles e independientes del entorno.</w:t>
      </w:r>
    </w:p>
    <w:tbl>
      <w:tblPr>
        <w:tblStyle w:val="Table"/>
        <w:tblW w:type="pct" w:w="5000"/>
        <w:tblLayout w:type="fixed"/>
        <w:tblLook w:firstRow="0" w:lastRow="0" w:firstColumn="0" w:lastColumn="0" w:noHBand="0" w:noVBand="0" w:val="0000"/>
      </w:tblPr>
      <w:tblGrid>
        <w:gridCol w:w="7920"/>
      </w:tblGrid>
      <w:tr>
        <w:tc>
          <w:tcPr/>
          <w:bookmarkStart w:id="106" w:name="fig-trilingual"/>
          <w:p>
            <w:pPr>
              <w:pStyle w:val="Compact"/>
              <w:jc w:val="center"/>
            </w:pPr>
            <w:r>
              <w:drawing>
                <wp:inline>
                  <wp:extent cx="4533900" cy="2496708"/>
                  <wp:effectExtent b="0" l="0" r="0" t="0"/>
                  <wp:docPr descr="" title="" id="104" name="Picture"/>
                  <a:graphic>
                    <a:graphicData uri="http://schemas.openxmlformats.org/drawingml/2006/picture">
                      <pic:pic>
                        <pic:nvPicPr>
                          <pic:cNvPr descr="../outputs/figures/validacion_trilingual_correlacion.png" id="105" name="Picture"/>
                          <pic:cNvPicPr>
                            <a:picLocks noChangeArrowheads="1" noChangeAspect="1"/>
                          </pic:cNvPicPr>
                        </pic:nvPicPr>
                        <pic:blipFill>
                          <a:blip r:embed="rId103"/>
                          <a:stretch>
                            <a:fillRect/>
                          </a:stretch>
                        </pic:blipFill>
                        <pic:spPr bwMode="auto">
                          <a:xfrm>
                            <a:off x="0" y="0"/>
                            <a:ext cx="4533900" cy="2496708"/>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106"/>
        </w:tc>
      </w:tr>
    </w:tbl>
    <w:bookmarkEnd w:id="107"/>
    <w:bookmarkStart w:id="111" w:name="X1020d49cecb0d2ee1efa224658e147bf534d0df"/>
    <w:p>
      <w:pPr>
        <w:pStyle w:val="Heading2"/>
      </w:pPr>
      <w:r>
        <w:t xml:space="preserve">9.9 Validación con datos NASA: detección de inundación SAR</w:t>
      </w:r>
    </w:p>
    <w:p>
      <w:pPr>
        <w:pStyle w:val="FirstParagraph"/>
      </w:pPr>
      <w: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tbl>
      <w:tblPr>
        <w:tblStyle w:val="Table"/>
        <w:tblW w:type="pct" w:w="5000"/>
        <w:tblLayout w:type="fixed"/>
        <w:tblLook w:firstRow="0" w:lastRow="0" w:firstColumn="0" w:lastColumn="0" w:noHBand="0" w:noVBand="0" w:val="0000"/>
      </w:tblPr>
      <w:tblGrid>
        <w:gridCol w:w="7920"/>
      </w:tblGrid>
      <w:tr>
        <w:tc>
          <w:tcPr/>
          <w:bookmarkStart w:id="108" w:name="tbl-gfd"/>
          <w:p>
            <w:pPr>
              <w:jc w:val="center"/>
            </w:pPr>
            <w:pPr>
              <w:jc w:val="left"/>
              <w:spacing w:before="200"/>
              <w:pStyle w:val="ImageCaption"/>
            </w:pPr>
            <w:r>
              <w:t xml:space="preserve">Tabla 16: Eventos de inundación con mayor área afectada dentro del AOI acotado (Global Flood Database, 2001–2017).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Evento</w:t>
                  </w:r>
                </w:p>
              </w:tc>
              <w:tc>
                <w:tcPr/>
                <w:p>
                  <w:pPr>
                    <w:pStyle w:val="Compact"/>
                    <w:jc w:val="center"/>
                  </w:pPr>
                  <w:r>
                    <w:t xml:space="preserve">Inicio</w:t>
                  </w:r>
                </w:p>
              </w:tc>
              <w:tc>
                <w:tcPr/>
                <w:p>
                  <w:pPr>
                    <w:pStyle w:val="Compact"/>
                    <w:jc w:val="center"/>
                  </w:pPr>
                  <w:r>
                    <w:t xml:space="preserve">Fin</w:t>
                  </w:r>
                </w:p>
              </w:tc>
              <w:tc>
                <w:tcPr/>
                <w:p>
                  <w:pPr>
                    <w:pStyle w:val="Compact"/>
                    <w:jc w:val="center"/>
                  </w:pPr>
                  <w:r>
                    <w:t xml:space="preserve">Área (km²)</w:t>
                  </w:r>
                </w:p>
              </w:tc>
              <w:tc>
                <w:tcPr/>
                <w:p>
                  <w:pPr>
                    <w:pStyle w:val="Compact"/>
                    <w:jc w:val="center"/>
                  </w:pPr>
                  <w:r>
                    <w:t xml:space="preserve">Días</w:t>
                  </w:r>
                </w:p>
              </w:tc>
            </w:tr>
            <w:tr>
              <w:tc>
                <w:tcPr/>
                <w:p>
                  <w:pPr>
                    <w:pStyle w:val="Compact"/>
                    <w:jc w:val="center"/>
                  </w:pPr>
                  <w:r>
                    <w:t xml:space="preserve">DFO_2625</w:t>
                  </w:r>
                </w:p>
              </w:tc>
              <w:tc>
                <w:tcPr/>
                <w:p>
                  <w:pPr>
                    <w:pStyle w:val="Compact"/>
                    <w:jc w:val="center"/>
                  </w:pPr>
                  <w:r>
                    <w:t xml:space="preserve">2005-02-11</w:t>
                  </w:r>
                </w:p>
              </w:tc>
              <w:tc>
                <w:tcPr/>
                <w:p>
                  <w:pPr>
                    <w:pStyle w:val="Compact"/>
                    <w:jc w:val="center"/>
                  </w:pPr>
                  <w:r>
                    <w:t xml:space="preserve">2005-02-26</w:t>
                  </w:r>
                </w:p>
              </w:tc>
              <w:tc>
                <w:tcPr/>
                <w:p>
                  <w:pPr>
                    <w:pStyle w:val="Compact"/>
                    <w:jc w:val="center"/>
                  </w:pPr>
                  <w:r>
                    <w:t xml:space="preserve">299,2</w:t>
                  </w:r>
                </w:p>
              </w:tc>
              <w:tc>
                <w:tcPr/>
                <w:p>
                  <w:pPr>
                    <w:pStyle w:val="Compact"/>
                    <w:jc w:val="center"/>
                  </w:pPr>
                  <w:r>
                    <w:t xml:space="preserve">15</w:t>
                  </w:r>
                </w:p>
              </w:tc>
            </w:tr>
            <w:tr>
              <w:tc>
                <w:tcPr/>
                <w:p>
                  <w:pPr>
                    <w:pStyle w:val="Compact"/>
                    <w:jc w:val="center"/>
                  </w:pPr>
                  <w:r>
                    <w:t xml:space="preserve">DFO_2588</w:t>
                  </w:r>
                </w:p>
              </w:tc>
              <w:tc>
                <w:tcPr/>
                <w:p>
                  <w:pPr>
                    <w:pStyle w:val="Compact"/>
                    <w:jc w:val="center"/>
                  </w:pPr>
                  <w:r>
                    <w:t xml:space="preserve">2004-11-20</w:t>
                  </w:r>
                </w:p>
              </w:tc>
              <w:tc>
                <w:tcPr/>
                <w:p>
                  <w:pPr>
                    <w:pStyle w:val="Compact"/>
                    <w:jc w:val="center"/>
                  </w:pPr>
                  <w:r>
                    <w:t xml:space="preserve">2004-11-27</w:t>
                  </w:r>
                </w:p>
              </w:tc>
              <w:tc>
                <w:tcPr/>
                <w:p>
                  <w:pPr>
                    <w:pStyle w:val="Compact"/>
                    <w:jc w:val="center"/>
                  </w:pPr>
                  <w:r>
                    <w:t xml:space="preserve">274,8</w:t>
                  </w:r>
                </w:p>
              </w:tc>
              <w:tc>
                <w:tcPr/>
                <w:p>
                  <w:pPr>
                    <w:pStyle w:val="Compact"/>
                    <w:jc w:val="center"/>
                  </w:pPr>
                  <w:r>
                    <w:t xml:space="preserve">7</w:t>
                  </w:r>
                </w:p>
              </w:tc>
            </w:tr>
            <w:tr>
              <w:tc>
                <w:tcPr/>
                <w:p>
                  <w:pPr>
                    <w:pStyle w:val="Compact"/>
                    <w:jc w:val="center"/>
                  </w:pPr>
                  <w:r>
                    <w:t xml:space="preserve">DFO_2761</w:t>
                  </w:r>
                </w:p>
              </w:tc>
              <w:tc>
                <w:tcPr/>
                <w:p>
                  <w:pPr>
                    <w:pStyle w:val="Compact"/>
                    <w:jc w:val="center"/>
                  </w:pPr>
                  <w:r>
                    <w:t xml:space="preserve">2005-09-15</w:t>
                  </w:r>
                </w:p>
              </w:tc>
              <w:tc>
                <w:tcPr/>
                <w:p>
                  <w:pPr>
                    <w:pStyle w:val="Compact"/>
                    <w:jc w:val="center"/>
                  </w:pPr>
                  <w:r>
                    <w:t xml:space="preserve">2005-12-16</w:t>
                  </w:r>
                </w:p>
              </w:tc>
              <w:tc>
                <w:tcPr/>
                <w:p>
                  <w:pPr>
                    <w:pStyle w:val="Compact"/>
                    <w:jc w:val="center"/>
                  </w:pPr>
                  <w:r>
                    <w:t xml:space="preserve">239,4</w:t>
                  </w:r>
                </w:p>
              </w:tc>
              <w:tc>
                <w:tcPr/>
                <w:p>
                  <w:pPr>
                    <w:pStyle w:val="Compact"/>
                    <w:jc w:val="center"/>
                  </w:pPr>
                  <w:r>
                    <w:t xml:space="preserve">92</w:t>
                  </w:r>
                </w:p>
              </w:tc>
            </w:tr>
            <w:tr>
              <w:tc>
                <w:tcPr/>
                <w:p>
                  <w:pPr>
                    <w:pStyle w:val="Compact"/>
                    <w:jc w:val="center"/>
                  </w:pPr>
                  <w:r>
                    <w:t xml:space="preserve">DFO_1996</w:t>
                  </w:r>
                </w:p>
              </w:tc>
              <w:tc>
                <w:tcPr/>
                <w:p>
                  <w:pPr>
                    <w:pStyle w:val="Compact"/>
                    <w:jc w:val="center"/>
                  </w:pPr>
                  <w:r>
                    <w:t xml:space="preserve">2002-07-20</w:t>
                  </w:r>
                </w:p>
              </w:tc>
              <w:tc>
                <w:tcPr/>
                <w:p>
                  <w:pPr>
                    <w:pStyle w:val="Compact"/>
                    <w:jc w:val="center"/>
                  </w:pPr>
                  <w:r>
                    <w:t xml:space="preserve">2002-07-31</w:t>
                  </w:r>
                </w:p>
              </w:tc>
              <w:tc>
                <w:tcPr/>
                <w:p>
                  <w:pPr>
                    <w:pStyle w:val="Compact"/>
                    <w:jc w:val="center"/>
                  </w:pPr>
                  <w:r>
                    <w:t xml:space="preserve">233,9</w:t>
                  </w:r>
                </w:p>
              </w:tc>
              <w:tc>
                <w:tcPr/>
                <w:p>
                  <w:pPr>
                    <w:pStyle w:val="Compact"/>
                    <w:jc w:val="center"/>
                  </w:pPr>
                  <w:r>
                    <w:t xml:space="preserve">11</w:t>
                  </w:r>
                </w:p>
              </w:tc>
            </w:tr>
            <w:tr>
              <w:tc>
                <w:tcPr/>
                <w:p>
                  <w:pPr>
                    <w:pStyle w:val="Compact"/>
                    <w:jc w:val="center"/>
                  </w:pPr>
                  <w:r>
                    <w:t xml:space="preserve">DFO_4495</w:t>
                  </w:r>
                </w:p>
              </w:tc>
              <w:tc>
                <w:tcPr/>
                <w:p>
                  <w:pPr>
                    <w:pStyle w:val="Compact"/>
                    <w:jc w:val="center"/>
                  </w:pPr>
                  <w:r>
                    <w:t xml:space="preserve">2017-08-04</w:t>
                  </w:r>
                </w:p>
              </w:tc>
              <w:tc>
                <w:tcPr/>
                <w:p>
                  <w:pPr>
                    <w:pStyle w:val="Compact"/>
                    <w:jc w:val="center"/>
                  </w:pPr>
                  <w:r>
                    <w:t xml:space="preserve">2017-08-21</w:t>
                  </w:r>
                </w:p>
              </w:tc>
              <w:tc>
                <w:tcPr/>
                <w:p>
                  <w:pPr>
                    <w:pStyle w:val="Compact"/>
                    <w:jc w:val="center"/>
                  </w:pPr>
                  <w:r>
                    <w:t xml:space="preserve">221,3</w:t>
                  </w:r>
                </w:p>
              </w:tc>
              <w:tc>
                <w:tcPr/>
                <w:p>
                  <w:pPr>
                    <w:pStyle w:val="Compact"/>
                    <w:jc w:val="center"/>
                  </w:pPr>
                  <w:r>
                    <w:t xml:space="preserve">17</w:t>
                  </w:r>
                </w:p>
              </w:tc>
            </w:tr>
            <w:tr>
              <w:tc>
                <w:tcPr/>
                <w:p>
                  <w:pPr>
                    <w:pStyle w:val="Compact"/>
                    <w:jc w:val="center"/>
                  </w:pPr>
                  <w:r>
                    <w:t xml:space="preserve">DFO_3212</w:t>
                  </w:r>
                </w:p>
              </w:tc>
              <w:tc>
                <w:tcPr/>
                <w:p>
                  <w:pPr>
                    <w:pStyle w:val="Compact"/>
                    <w:jc w:val="center"/>
                  </w:pPr>
                  <w:r>
                    <w:t xml:space="preserve">2007-10-01</w:t>
                  </w:r>
                </w:p>
              </w:tc>
              <w:tc>
                <w:tcPr/>
                <w:p>
                  <w:pPr>
                    <w:pStyle w:val="Compact"/>
                    <w:jc w:val="center"/>
                  </w:pPr>
                  <w:r>
                    <w:t xml:space="preserve">2007-12-10</w:t>
                  </w:r>
                </w:p>
              </w:tc>
              <w:tc>
                <w:tcPr/>
                <w:p>
                  <w:pPr>
                    <w:pStyle w:val="Compact"/>
                    <w:jc w:val="center"/>
                  </w:pPr>
                  <w:r>
                    <w:t xml:space="preserve">211,5</w:t>
                  </w:r>
                </w:p>
              </w:tc>
              <w:tc>
                <w:tcPr/>
                <w:p>
                  <w:pPr>
                    <w:pStyle w:val="Compact"/>
                    <w:jc w:val="center"/>
                  </w:pPr>
                  <w:r>
                    <w:t xml:space="preserve">70</w:t>
                  </w:r>
                </w:p>
              </w:tc>
            </w:tr>
            <w:tr>
              <w:tc>
                <w:tcPr/>
                <w:p>
                  <w:pPr>
                    <w:pStyle w:val="Compact"/>
                    <w:jc w:val="center"/>
                  </w:pPr>
                  <w:r>
                    <w:t xml:space="preserve">DFO_3750</w:t>
                  </w:r>
                </w:p>
              </w:tc>
              <w:tc>
                <w:tcPr/>
                <w:p>
                  <w:pPr>
                    <w:pStyle w:val="Compact"/>
                    <w:jc w:val="center"/>
                  </w:pPr>
                  <w:r>
                    <w:t xml:space="preserve">2010-11-15</w:t>
                  </w:r>
                </w:p>
              </w:tc>
              <w:tc>
                <w:tcPr/>
                <w:p>
                  <w:pPr>
                    <w:pStyle w:val="Compact"/>
                    <w:jc w:val="center"/>
                  </w:pPr>
                  <w:r>
                    <w:t xml:space="preserve">2010-12-20</w:t>
                  </w:r>
                </w:p>
              </w:tc>
              <w:tc>
                <w:tcPr/>
                <w:p>
                  <w:pPr>
                    <w:pStyle w:val="Compact"/>
                    <w:jc w:val="center"/>
                  </w:pPr>
                  <w:r>
                    <w:t xml:space="preserve">190,1</w:t>
                  </w:r>
                </w:p>
              </w:tc>
              <w:tc>
                <w:tcPr/>
                <w:p>
                  <w:pPr>
                    <w:pStyle w:val="Compact"/>
                    <w:jc w:val="center"/>
                  </w:pPr>
                  <w:r>
                    <w:t xml:space="preserve">35</w:t>
                  </w:r>
                </w:p>
              </w:tc>
            </w:tr>
            <w:tr>
              <w:tc>
                <w:tcPr/>
                <w:p>
                  <w:pPr>
                    <w:pStyle w:val="Compact"/>
                    <w:jc w:val="center"/>
                  </w:pPr>
                  <w:r>
                    <w:t xml:space="preserve">DFO_3754</w:t>
                  </w:r>
                </w:p>
              </w:tc>
              <w:tc>
                <w:tcPr/>
                <w:p>
                  <w:pPr>
                    <w:pStyle w:val="Compact"/>
                    <w:jc w:val="center"/>
                  </w:pPr>
                  <w:r>
                    <w:t xml:space="preserve">2010-11-25</w:t>
                  </w:r>
                </w:p>
              </w:tc>
              <w:tc>
                <w:tcPr/>
                <w:p>
                  <w:pPr>
                    <w:pStyle w:val="Compact"/>
                    <w:jc w:val="center"/>
                  </w:pPr>
                  <w:r>
                    <w:t xml:space="preserve">2010-12-20</w:t>
                  </w:r>
                </w:p>
              </w:tc>
              <w:tc>
                <w:tcPr/>
                <w:p>
                  <w:pPr>
                    <w:pStyle w:val="Compact"/>
                    <w:jc w:val="center"/>
                  </w:pPr>
                  <w:r>
                    <w:t xml:space="preserve">175,0</w:t>
                  </w:r>
                </w:p>
              </w:tc>
              <w:tc>
                <w:tcPr/>
                <w:p>
                  <w:pPr>
                    <w:pStyle w:val="Compact"/>
                    <w:jc w:val="center"/>
                  </w:pPr>
                  <w:r>
                    <w:t xml:space="preserve">25</w:t>
                  </w:r>
                </w:p>
              </w:tc>
            </w:tr>
            <w:tr>
              <w:tc>
                <w:tcPr/>
                <w:p>
                  <w:pPr>
                    <w:pStyle w:val="Compact"/>
                    <w:jc w:val="center"/>
                  </w:pPr>
                  <w:r>
                    <w:t xml:space="preserve">DFO_3421</w:t>
                  </w:r>
                </w:p>
              </w:tc>
              <w:tc>
                <w:tcPr/>
                <w:p>
                  <w:pPr>
                    <w:pStyle w:val="Compact"/>
                    <w:jc w:val="center"/>
                  </w:pPr>
                  <w:r>
                    <w:t xml:space="preserve">2008-12-13</w:t>
                  </w:r>
                </w:p>
              </w:tc>
              <w:tc>
                <w:tcPr/>
                <w:p>
                  <w:pPr>
                    <w:pStyle w:val="Compact"/>
                    <w:jc w:val="center"/>
                  </w:pPr>
                  <w:r>
                    <w:t xml:space="preserve">2008-12-14</w:t>
                  </w:r>
                </w:p>
              </w:tc>
              <w:tc>
                <w:tcPr/>
                <w:p>
                  <w:pPr>
                    <w:pStyle w:val="Compact"/>
                    <w:jc w:val="center"/>
                  </w:pPr>
                  <w:r>
                    <w:t xml:space="preserve">151,9</w:t>
                  </w:r>
                </w:p>
              </w:tc>
              <w:tc>
                <w:tcPr/>
                <w:p>
                  <w:pPr>
                    <w:pStyle w:val="Compact"/>
                    <w:jc w:val="center"/>
                  </w:pPr>
                  <w:r>
                    <w:t xml:space="preserve">1</w:t>
                  </w:r>
                </w:p>
              </w:tc>
            </w:tr>
            <w:tr>
              <w:tc>
                <w:tcPr/>
                <w:p>
                  <w:pPr>
                    <w:pStyle w:val="Compact"/>
                    <w:jc w:val="center"/>
                  </w:pPr>
                  <w:r>
                    <w:t xml:space="preserve">DFO_3311</w:t>
                  </w:r>
                </w:p>
              </w:tc>
              <w:tc>
                <w:tcPr/>
                <w:p>
                  <w:pPr>
                    <w:pStyle w:val="Compact"/>
                    <w:jc w:val="center"/>
                  </w:pPr>
                  <w:r>
                    <w:t xml:space="preserve">2008-05-27</w:t>
                  </w:r>
                </w:p>
              </w:tc>
              <w:tc>
                <w:tcPr/>
                <w:p>
                  <w:pPr>
                    <w:pStyle w:val="Compact"/>
                    <w:jc w:val="center"/>
                  </w:pPr>
                  <w:r>
                    <w:t xml:space="preserve">2008-05-28</w:t>
                  </w:r>
                </w:p>
              </w:tc>
              <w:tc>
                <w:tcPr/>
                <w:p>
                  <w:pPr>
                    <w:pStyle w:val="Compact"/>
                    <w:jc w:val="center"/>
                  </w:pPr>
                  <w:r>
                    <w:t xml:space="preserve">78,8</w:t>
                  </w:r>
                </w:p>
              </w:tc>
              <w:tc>
                <w:tcPr/>
                <w:p>
                  <w:pPr>
                    <w:pStyle w:val="Compact"/>
                    <w:jc w:val="center"/>
                  </w:pPr>
                  <w:r>
                    <w:t xml:space="preserve">1</w:t>
                  </w:r>
                </w:p>
              </w:tc>
            </w:tr>
          </w:tbl>
          <w:bookmarkEnd w:id="108"/>
          <w:p/>
        </w:tc>
      </w:tr>
    </w:tbl>
    <w:p>
      <w:pPr>
        <w:pStyle w:val="BodyText"/>
      </w:pPr>
      <w: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w:t>
      </w:r>
      <w:r>
        <w:t xml:space="preserve"> </w:t>
      </w:r>
      <w:r>
        <w:rPr>
          <w:i/>
          <w:iCs/>
        </w:rPr>
        <w:t xml:space="preserve">scattering</w:t>
      </w:r>
      <w:r>
        <w:t xml:space="preserve"> </w:t>
      </w:r>
      <w:r>
        <w:t xml:space="preserve">de doble rebote agua-tronco),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inland que también producen diferencia SAR negativa por dinámica de vegetación natural sin relación con la inundación La Niña. El cruce con las anomalías NDVI revela patrones diferenciados por estación que se discuten en la tabla</w:t>
      </w:r>
      <w:r>
        <w:t xml:space="preserve"> </w:t>
      </w:r>
      <w:hyperlink w:anchor="tbl-cruce">
        <w:r>
          <w:rPr>
            <w:rStyle w:val="Hyperlink"/>
          </w:rPr>
          <w:t xml:space="preserve">tabla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ar"/>
          <w:p>
            <w:pPr>
              <w:jc w:val="center"/>
            </w:pPr>
            <w:pPr>
              <w:jc w:val="left"/>
              <w:spacing w:before="200"/>
              <w:pStyle w:val="ImageCaption"/>
            </w:pPr>
            <w:r>
              <w:t xml:space="preserve">Tabla 17: Extensión de la inundación detectada con Sentinel-1 SAR (septiembre–octubre 2020) sobre el AOI acotado SFF + VPI Salamanca.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Tipo de inundación</w:t>
                  </w:r>
                </w:p>
              </w:tc>
              <w:tc>
                <w:tcPr/>
                <w:p>
                  <w:pPr>
                    <w:pStyle w:val="Compact"/>
                    <w:jc w:val="center"/>
                  </w:pPr>
                  <w:r>
                    <w:t xml:space="preserve">Área (km²)</w:t>
                  </w:r>
                </w:p>
              </w:tc>
              <w:tc>
                <w:tcPr/>
                <w:p>
                  <w:pPr>
                    <w:pStyle w:val="Compact"/>
                    <w:jc w:val="center"/>
                  </w:pPr>
                  <w:r>
                    <w:t xml:space="preserve">% AOI acotado</w:t>
                  </w:r>
                </w:p>
              </w:tc>
            </w:tr>
            <w:tr>
              <w:tc>
                <w:tcPr/>
                <w:p>
                  <w:pPr>
                    <w:pStyle w:val="Compact"/>
                    <w:jc w:val="center"/>
                  </w:pPr>
                  <w:r>
                    <w:t xml:space="preserve">Agua abierta (SAR diff &gt; +3 dB)</w:t>
                  </w:r>
                </w:p>
              </w:tc>
              <w:tc>
                <w:tcPr/>
                <w:p>
                  <w:pPr>
                    <w:pStyle w:val="Compact"/>
                    <w:jc w:val="center"/>
                  </w:pPr>
                  <w:r>
                    <w:t xml:space="preserve">15,93</w:t>
                  </w:r>
                </w:p>
              </w:tc>
              <w:tc>
                <w:tcPr/>
                <w:p>
                  <w:pPr>
                    <w:pStyle w:val="Compact"/>
                    <w:jc w:val="center"/>
                  </w:pPr>
                  <w:r>
                    <w:t xml:space="preserve">1,9 %</w:t>
                  </w:r>
                </w:p>
              </w:tc>
            </w:tr>
            <w:tr>
              <w:tc>
                <w:tcPr/>
                <w:p>
                  <w:pPr>
                    <w:pStyle w:val="Compact"/>
                    <w:jc w:val="center"/>
                  </w:pPr>
                  <w:r>
                    <w:t xml:space="preserve">Bajo dosel manglar (SAR diff &lt; −2 dB)</w:t>
                  </w:r>
                </w:p>
              </w:tc>
              <w:tc>
                <w:tcPr/>
                <w:p>
                  <w:pPr>
                    <w:pStyle w:val="Compact"/>
                    <w:jc w:val="center"/>
                  </w:pPr>
                  <w:r>
                    <w:t xml:space="preserve">43,08</w:t>
                  </w:r>
                </w:p>
              </w:tc>
              <w:tc>
                <w:tcPr/>
                <w:p>
                  <w:pPr>
                    <w:pStyle w:val="Compact"/>
                    <w:jc w:val="center"/>
                  </w:pPr>
                  <w:r>
                    <w:t xml:space="preserve">5,2 %</w:t>
                  </w:r>
                </w:p>
              </w:tc>
            </w:tr>
            <w:tr>
              <w:tc>
                <w:tcPr/>
                <w:p>
                  <w:pPr>
                    <w:pStyle w:val="Compact"/>
                    <w:jc w:val="center"/>
                  </w:pPr>
                  <w:r>
                    <w:t xml:space="preserve">Total afectado</w:t>
                  </w:r>
                </w:p>
              </w:tc>
              <w:tc>
                <w:tcPr/>
                <w:p>
                  <w:pPr>
                    <w:pStyle w:val="Compact"/>
                    <w:jc w:val="center"/>
                  </w:pPr>
                  <w:r>
                    <w:t xml:space="preserve">59,02</w:t>
                  </w:r>
                </w:p>
              </w:tc>
              <w:tc>
                <w:tcPr/>
                <w:p>
                  <w:pPr>
                    <w:pStyle w:val="Compact"/>
                    <w:jc w:val="center"/>
                  </w:pPr>
                  <w:r>
                    <w:t xml:space="preserve">7,1 %</w:t>
                  </w:r>
                </w:p>
              </w:tc>
            </w:tr>
          </w:tbl>
          <w:bookmarkEnd w:id="1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cruce"/>
          <w:p>
            <w:pPr>
              <w:jc w:val="center"/>
            </w:pPr>
            <w:pPr>
              <w:jc w:val="left"/>
              <w:spacing w:before="200"/>
              <w:pStyle w:val="ImageCaption"/>
            </w:pPr>
            <w:r>
              <w:t xml:space="preserve">Tabla 18: Cruce de señal SAR, NDVI y frecuencia de inundación histórica por estación, restringido al AOI acotado SFF + VPI Salamanca. Solo dos de las ocho estaciones quedan estrictamente dentro del polígono protegido oficial —Caño Palos al sur del Santuario y VIPIS sobre el Vía Parque—; ambas presentan un SAR diff positivo cercano a cero durante septiembre–octubre de 2020, lo que descarta inundación bajo dosel detectable por SAR en ese par de puntos. Las seis estaciones restantes caen fuera del polígono acotado y por tanto el</w:t>
            </w:r>
            <w:r>
              <w:t xml:space="preserve"> </w:t>
            </w:r>
            <w:r>
              <w:rPr>
                <w:rStyle w:val="VerbatimChar"/>
              </w:rPr>
              <w:t xml:space="preserve">clip(aoi)</w:t>
            </w:r>
            <w:r>
              <w:t xml:space="preserve"> </w:t>
            </w:r>
            <w:r>
              <w:t xml:space="preserve">aplicado a la imagen de diferencia SAR retorna</w:t>
            </w:r>
            <w:r>
              <w:t xml:space="preserve"> </w:t>
            </w:r>
            <w:r>
              <w:rPr>
                <w:rStyle w:val="VerbatimChar"/>
              </w:rPr>
              <w:t xml:space="preserve">None</w:t>
            </w:r>
            <w:r>
              <w:t xml:space="preserve"> </w:t>
            </w:r>
            <w:r>
              <w:t xml:space="preserve">en sus buffers, asimismo este resultado es un hallazgo metodológico relevante: las estaciones INVEMAR-GBIF fueron diseñadas como puntos de monitoreo limnológico sobre la lámina de agua del sistema lagunar central, fuera de los polígonos oficiales de protección, así su uso para monitorear el manglar requiere mediar la lectura mediante buffers amplios o ampliar el AOI más allá de RUNAP.</w:t>
            </w:r>
          </w:p>
          <w:tbl>
            <w:tblPr>
              <w:tblStyle w:val="Table"/>
              <w:tblW w:type="pct" w:w="5000"/>
              <w:tblLayout w:type="fixed"/>
              <w:tblLook w:firstRow="1" w:lastRow="0" w:firstColumn="0" w:lastColumn="0" w:noHBand="0" w:noVBand="0" w:val="0020"/>
            </w:tblPr>
            <w:tblGrid>
              <w:gridCol w:w="950"/>
              <w:gridCol w:w="871"/>
              <w:gridCol w:w="792"/>
              <w:gridCol w:w="712"/>
              <w:gridCol w:w="871"/>
              <w:gridCol w:w="792"/>
              <w:gridCol w:w="2930"/>
            </w:tblGrid>
            <w:tr>
              <w:trPr>
                <w:tblHeader w:val="on"/>
              </w:trPr>
              <w:tc>
                <w:tcPr/>
                <w:p>
                  <w:pPr>
                    <w:pStyle w:val="Compact"/>
                    <w:jc w:val="center"/>
                  </w:pPr>
                  <w:r>
                    <w:t xml:space="preserve">Estación</w:t>
                  </w:r>
                </w:p>
              </w:tc>
              <w:tc>
                <w:tcPr/>
                <w:p>
                  <w:pPr>
                    <w:pStyle w:val="Compact"/>
                    <w:jc w:val="center"/>
                  </w:pPr>
                  <w:r>
                    <w:t xml:space="preserve">Naturaleza</w:t>
                  </w:r>
                </w:p>
              </w:tc>
              <w:tc>
                <w:tcPr/>
                <w:p>
                  <w:pPr>
                    <w:pStyle w:val="Compact"/>
                    <w:jc w:val="center"/>
                  </w:pPr>
                  <w:r>
                    <w:t xml:space="preserve">Dentro AOI acotado</w:t>
                  </w:r>
                </w:p>
              </w:tc>
              <w:tc>
                <w:tcPr/>
                <w:p>
                  <w:pPr>
                    <w:pStyle w:val="Compact"/>
                    <w:jc w:val="center"/>
                  </w:pPr>
                  <w:r>
                    <w:t xml:space="preserve">SAR diff (dB)</w:t>
                  </w:r>
                </w:p>
              </w:tc>
              <w:tc>
                <w:tcPr/>
                <w:p>
                  <w:pPr>
                    <w:pStyle w:val="Compact"/>
                    <w:jc w:val="center"/>
                  </w:pPr>
                  <w:r>
                    <w:t xml:space="preserve">NDVI sept-2020</w:t>
                  </w:r>
                </w:p>
              </w:tc>
              <w:tc>
                <w:tcPr/>
                <w:p>
                  <w:pPr>
                    <w:pStyle w:val="Compact"/>
                    <w:jc w:val="center"/>
                  </w:pPr>
                  <w:r>
                    <w:t xml:space="preserve">Eventos GFD</w:t>
                  </w:r>
                </w:p>
              </w:tc>
              <w:tc>
                <w:tcPr/>
                <w:p>
                  <w:pPr>
                    <w:pStyle w:val="Compact"/>
                    <w:jc w:val="center"/>
                  </w:pPr>
                  <w:r>
                    <w:t xml:space="preserve">Interpretación</w:t>
                  </w:r>
                </w:p>
              </w:tc>
            </w:tr>
            <w:tr>
              <w:tc>
                <w:tcPr/>
                <w:p>
                  <w:pPr>
                    <w:pStyle w:val="Compact"/>
                    <w:jc w:val="center"/>
                  </w:pPr>
                  <w:r>
                    <w:t xml:space="preserve">Isla Boquerón</w:t>
                  </w:r>
                </w:p>
              </w:tc>
              <w:tc>
                <w:tcPr/>
                <w:p>
                  <w:pPr>
                    <w:pStyle w:val="Compact"/>
                    <w:jc w:val="center"/>
                  </w:pPr>
                  <w:r>
                    <w:t xml:space="preserve">Limnológica</w:t>
                  </w:r>
                </w:p>
              </w:tc>
              <w:tc>
                <w:tcPr/>
                <w:p>
                  <w:pPr>
                    <w:pStyle w:val="Compact"/>
                    <w:jc w:val="center"/>
                  </w:pPr>
                  <w:r>
                    <w:t xml:space="preserve">No</w:t>
                  </w:r>
                </w:p>
              </w:tc>
              <w:tc>
                <w:tcPr/>
                <w:p>
                  <w:pPr>
                    <w:pStyle w:val="Compact"/>
                    <w:jc w:val="center"/>
                  </w:pPr>
                  <w:r>
                    <w:t xml:space="preserve">N/A</w:t>
                  </w:r>
                </w:p>
              </w:tc>
              <w:tc>
                <w:tcPr/>
                <w:p>
                  <w:pPr>
                    <w:pStyle w:val="Compact"/>
                    <w:jc w:val="center"/>
                  </w:pPr>
                  <w:r>
                    <w:t xml:space="preserve">-0,018</w:t>
                  </w:r>
                </w:p>
              </w:tc>
              <w:tc>
                <w:tcPr/>
                <w:p>
                  <w:pPr>
                    <w:pStyle w:val="Compact"/>
                    <w:jc w:val="center"/>
                  </w:pPr>
                  <w:r>
                    <w:t xml:space="preserve">10 de 16</w:t>
                  </w:r>
                </w:p>
              </w:tc>
              <w:tc>
                <w:tcPr/>
                <w:p>
                  <w:pPr>
                    <w:pStyle w:val="Compact"/>
                    <w:jc w:val="center"/>
                  </w:pPr>
                  <w:r>
                    <w:t xml:space="preserve">Fuera del AOI: sobre lámina de agua del complejo lagunar central</w:t>
                  </w:r>
                </w:p>
              </w:tc>
            </w:tr>
            <w:tr>
              <w:tc>
                <w:tcPr/>
                <w:p>
                  <w:pPr>
                    <w:pStyle w:val="Compact"/>
                    <w:jc w:val="center"/>
                  </w:pPr>
                  <w:r>
                    <w:t xml:space="preserve">Punta Cerro</w:t>
                  </w:r>
                </w:p>
              </w:tc>
              <w:tc>
                <w:tcPr/>
                <w:p>
                  <w:pPr>
                    <w:pStyle w:val="Compact"/>
                    <w:jc w:val="center"/>
                  </w:pPr>
                  <w:r>
                    <w:t xml:space="preserve">Limnológica</w:t>
                  </w:r>
                </w:p>
              </w:tc>
              <w:tc>
                <w:tcPr/>
                <w:p>
                  <w:pPr>
                    <w:pStyle w:val="Compact"/>
                    <w:jc w:val="center"/>
                  </w:pPr>
                  <w:r>
                    <w:t xml:space="preserve">No</w:t>
                  </w:r>
                </w:p>
              </w:tc>
              <w:tc>
                <w:tcPr/>
                <w:p>
                  <w:pPr>
                    <w:pStyle w:val="Compact"/>
                    <w:jc w:val="center"/>
                  </w:pPr>
                  <w:r>
                    <w:t xml:space="preserve">N/A</w:t>
                  </w:r>
                </w:p>
              </w:tc>
              <w:tc>
                <w:tcPr/>
                <w:p>
                  <w:pPr>
                    <w:pStyle w:val="Compact"/>
                    <w:jc w:val="center"/>
                  </w:pPr>
                  <w:r>
                    <w:t xml:space="preserve">-0,078</w:t>
                  </w:r>
                </w:p>
              </w:tc>
              <w:tc>
                <w:tcPr/>
                <w:p>
                  <w:pPr>
                    <w:pStyle w:val="Compact"/>
                    <w:jc w:val="center"/>
                  </w:pPr>
                  <w:r>
                    <w:t xml:space="preserve">10 de 16</w:t>
                  </w:r>
                </w:p>
              </w:tc>
              <w:tc>
                <w:tcPr/>
                <w:p>
                  <w:pPr>
                    <w:pStyle w:val="Compact"/>
                    <w:jc w:val="center"/>
                  </w:pPr>
                  <w:r>
                    <w:t xml:space="preserve">Fuera del AOI: sobre lámina de agua del complejo lagunar central</w:t>
                  </w:r>
                </w:p>
              </w:tc>
            </w:tr>
            <w:tr>
              <w:tc>
                <w:tcPr/>
                <w:p>
                  <w:pPr>
                    <w:pStyle w:val="Compact"/>
                    <w:jc w:val="center"/>
                  </w:pPr>
                  <w:r>
                    <w:t xml:space="preserve">Punta Chino</w:t>
                  </w:r>
                </w:p>
              </w:tc>
              <w:tc>
                <w:tcPr/>
                <w:p>
                  <w:pPr>
                    <w:pStyle w:val="Compact"/>
                    <w:jc w:val="center"/>
                  </w:pPr>
                  <w:r>
                    <w:t xml:space="preserve">Limnológica</w:t>
                  </w:r>
                </w:p>
              </w:tc>
              <w:tc>
                <w:tcPr/>
                <w:p>
                  <w:pPr>
                    <w:pStyle w:val="Compact"/>
                    <w:jc w:val="center"/>
                  </w:pPr>
                  <w:r>
                    <w:t xml:space="preserve">No</w:t>
                  </w:r>
                </w:p>
              </w:tc>
              <w:tc>
                <w:tcPr/>
                <w:p>
                  <w:pPr>
                    <w:pStyle w:val="Compact"/>
                    <w:jc w:val="center"/>
                  </w:pPr>
                  <w:r>
                    <w:t xml:space="preserve">N/A</w:t>
                  </w:r>
                </w:p>
              </w:tc>
              <w:tc>
                <w:tcPr/>
                <w:p>
                  <w:pPr>
                    <w:pStyle w:val="Compact"/>
                    <w:jc w:val="center"/>
                  </w:pPr>
                  <w:r>
                    <w:t xml:space="preserve">0,200</w:t>
                  </w:r>
                </w:p>
              </w:tc>
              <w:tc>
                <w:tcPr/>
                <w:p>
                  <w:pPr>
                    <w:pStyle w:val="Compact"/>
                    <w:jc w:val="center"/>
                  </w:pPr>
                  <w:r>
                    <w:t xml:space="preserve">9 de 16</w:t>
                  </w:r>
                </w:p>
              </w:tc>
              <w:tc>
                <w:tcPr/>
                <w:p>
                  <w:pPr>
                    <w:pStyle w:val="Compact"/>
                    <w:jc w:val="center"/>
                  </w:pPr>
                  <w:r>
                    <w:t xml:space="preserve">Fuera del AOI: sobre lámina de agua del complejo lagunar central</w:t>
                  </w:r>
                </w:p>
              </w:tc>
            </w:tr>
            <w:tr>
              <w:tc>
                <w:tcPr/>
                <w:p>
                  <w:pPr>
                    <w:pStyle w:val="Compact"/>
                    <w:jc w:val="center"/>
                  </w:pPr>
                  <w:r>
                    <w:t xml:space="preserve">Río Sevilla</w:t>
                  </w:r>
                </w:p>
              </w:tc>
              <w:tc>
                <w:tcPr/>
                <w:p>
                  <w:pPr>
                    <w:pStyle w:val="Compact"/>
                    <w:jc w:val="center"/>
                  </w:pPr>
                  <w:r>
                    <w:t xml:space="preserve">Limnológica</w:t>
                  </w:r>
                </w:p>
              </w:tc>
              <w:tc>
                <w:tcPr/>
                <w:p>
                  <w:pPr>
                    <w:pStyle w:val="Compact"/>
                    <w:jc w:val="center"/>
                  </w:pPr>
                  <w:r>
                    <w:t xml:space="preserve">No</w:t>
                  </w:r>
                </w:p>
              </w:tc>
              <w:tc>
                <w:tcPr/>
                <w:p>
                  <w:pPr>
                    <w:pStyle w:val="Compact"/>
                    <w:jc w:val="center"/>
                  </w:pPr>
                  <w:r>
                    <w:t xml:space="preserve">N/A</w:t>
                  </w:r>
                </w:p>
              </w:tc>
              <w:tc>
                <w:tcPr/>
                <w:p>
                  <w:pPr>
                    <w:pStyle w:val="Compact"/>
                    <w:jc w:val="center"/>
                  </w:pPr>
                  <w:r>
                    <w:t xml:space="preserve">0,050</w:t>
                  </w:r>
                </w:p>
              </w:tc>
              <w:tc>
                <w:tcPr/>
                <w:p>
                  <w:pPr>
                    <w:pStyle w:val="Compact"/>
                    <w:jc w:val="center"/>
                  </w:pPr>
                  <w:r>
                    <w:t xml:space="preserve">10 de 16</w:t>
                  </w:r>
                </w:p>
              </w:tc>
              <w:tc>
                <w:tcPr/>
                <w:p>
                  <w:pPr>
                    <w:pStyle w:val="Compact"/>
                    <w:jc w:val="center"/>
                  </w:pPr>
                  <w:r>
                    <w:t xml:space="preserve">Fuera del AOI: sobre lámina de agua del complejo lagunar central</w:t>
                  </w:r>
                </w:p>
              </w:tc>
            </w:tr>
            <w:tr>
              <w:tc>
                <w:tcPr/>
                <w:p>
                  <w:pPr>
                    <w:pStyle w:val="Compact"/>
                    <w:jc w:val="center"/>
                  </w:pPr>
                  <w:r>
                    <w:t xml:space="preserve">Caño Palos</w:t>
                  </w:r>
                </w:p>
              </w:tc>
              <w:tc>
                <w:tcPr/>
                <w:p>
                  <w:pPr>
                    <w:pStyle w:val="Compact"/>
                    <w:jc w:val="center"/>
                  </w:pPr>
                  <w:r>
                    <w:t xml:space="preserve">Manglar</w:t>
                  </w:r>
                </w:p>
              </w:tc>
              <w:tc>
                <w:tcPr/>
                <w:p>
                  <w:pPr>
                    <w:pStyle w:val="Compact"/>
                    <w:jc w:val="center"/>
                  </w:pPr>
                  <w:r>
                    <w:t xml:space="preserve">Sí</w:t>
                  </w:r>
                </w:p>
              </w:tc>
              <w:tc>
                <w:tcPr/>
                <w:p>
                  <w:pPr>
                    <w:pStyle w:val="Compact"/>
                    <w:jc w:val="center"/>
                  </w:pPr>
                  <w:r>
                    <w:t xml:space="preserve">+0,15</w:t>
                  </w:r>
                </w:p>
              </w:tc>
              <w:tc>
                <w:tcPr/>
                <w:p>
                  <w:pPr>
                    <w:pStyle w:val="Compact"/>
                    <w:jc w:val="center"/>
                  </w:pPr>
                  <w:r>
                    <w:t xml:space="preserve">0,400</w:t>
                  </w:r>
                </w:p>
              </w:tc>
              <w:tc>
                <w:tcPr/>
                <w:p>
                  <w:pPr>
                    <w:pStyle w:val="Compact"/>
                    <w:jc w:val="center"/>
                  </w:pPr>
                  <w:r>
                    <w:t xml:space="preserve">2 de 16</w:t>
                  </w:r>
                </w:p>
              </w:tc>
              <w:tc>
                <w:tcPr/>
                <w:p>
                  <w:pPr>
                    <w:pStyle w:val="Compact"/>
                    <w:jc w:val="center"/>
                  </w:pPr>
                  <w:r>
                    <w:t xml:space="preserve">Sin afectación SAR mayor</w:t>
                  </w:r>
                </w:p>
              </w:tc>
            </w:tr>
            <w:tr>
              <w:tc>
                <w:tcPr/>
                <w:p>
                  <w:pPr>
                    <w:pStyle w:val="Compact"/>
                    <w:jc w:val="center"/>
                  </w:pPr>
                  <w:r>
                    <w:t xml:space="preserve">CP Pajarales</w:t>
                  </w:r>
                </w:p>
              </w:tc>
              <w:tc>
                <w:tcPr/>
                <w:p>
                  <w:pPr>
                    <w:pStyle w:val="Compact"/>
                    <w:jc w:val="center"/>
                  </w:pPr>
                  <w:r>
                    <w:t xml:space="preserve">Manglar</w:t>
                  </w:r>
                </w:p>
              </w:tc>
              <w:tc>
                <w:tcPr/>
                <w:p>
                  <w:pPr>
                    <w:pStyle w:val="Compact"/>
                    <w:jc w:val="center"/>
                  </w:pPr>
                  <w:r>
                    <w:t xml:space="preserve">No</w:t>
                  </w:r>
                </w:p>
              </w:tc>
              <w:tc>
                <w:tcPr/>
                <w:p>
                  <w:pPr>
                    <w:pStyle w:val="Compact"/>
                    <w:jc w:val="center"/>
                  </w:pPr>
                  <w:r>
                    <w:t xml:space="preserve">N/A</w:t>
                  </w:r>
                </w:p>
              </w:tc>
              <w:tc>
                <w:tcPr/>
                <w:p>
                  <w:pPr>
                    <w:pStyle w:val="Compact"/>
                    <w:jc w:val="center"/>
                  </w:pPr>
                  <w:r>
                    <w:t xml:space="preserve">0,300</w:t>
                  </w:r>
                </w:p>
              </w:tc>
              <w:tc>
                <w:tcPr/>
                <w:p>
                  <w:pPr>
                    <w:pStyle w:val="Compact"/>
                    <w:jc w:val="center"/>
                  </w:pPr>
                  <w:r>
                    <w:t xml:space="preserve">9 de 16</w:t>
                  </w:r>
                </w:p>
              </w:tc>
              <w:tc>
                <w:tcPr/>
                <w:p>
                  <w:pPr>
                    <w:pStyle w:val="Compact"/>
                    <w:jc w:val="center"/>
                  </w:pPr>
                  <w:r>
                    <w:t xml:space="preserve">Fuera del AOI: oeste del SFF, en zona riberana</w:t>
                  </w:r>
                </w:p>
              </w:tc>
            </w:tr>
            <w:tr>
              <w:tc>
                <w:tcPr/>
                <w:p>
                  <w:pPr>
                    <w:pStyle w:val="Compact"/>
                    <w:jc w:val="center"/>
                  </w:pPr>
                  <w:r>
                    <w:t xml:space="preserve">Caño Clarín</w:t>
                  </w:r>
                </w:p>
              </w:tc>
              <w:tc>
                <w:tcPr/>
                <w:p>
                  <w:pPr>
                    <w:pStyle w:val="Compact"/>
                    <w:jc w:val="center"/>
                  </w:pPr>
                  <w:r>
                    <w:t xml:space="preserve">Manglar</w:t>
                  </w:r>
                </w:p>
              </w:tc>
              <w:tc>
                <w:tcPr/>
                <w:p>
                  <w:pPr>
                    <w:pStyle w:val="Compact"/>
                    <w:jc w:val="center"/>
                  </w:pPr>
                  <w:r>
                    <w:t xml:space="preserve">No</w:t>
                  </w:r>
                </w:p>
              </w:tc>
              <w:tc>
                <w:tcPr/>
                <w:p>
                  <w:pPr>
                    <w:pStyle w:val="Compact"/>
                    <w:jc w:val="center"/>
                  </w:pPr>
                  <w:r>
                    <w:t xml:space="preserve">N/A</w:t>
                  </w:r>
                </w:p>
              </w:tc>
              <w:tc>
                <w:tcPr/>
                <w:p>
                  <w:pPr>
                    <w:pStyle w:val="Compact"/>
                    <w:jc w:val="center"/>
                  </w:pPr>
                  <w:r>
                    <w:t xml:space="preserve">0,500</w:t>
                  </w:r>
                </w:p>
              </w:tc>
              <w:tc>
                <w:tcPr/>
                <w:p>
                  <w:pPr>
                    <w:pStyle w:val="Compact"/>
                    <w:jc w:val="center"/>
                  </w:pPr>
                  <w:r>
                    <w:t xml:space="preserve">1 de 16</w:t>
                  </w:r>
                </w:p>
              </w:tc>
              <w:tc>
                <w:tcPr/>
                <w:p>
                  <w:pPr>
                    <w:pStyle w:val="Compact"/>
                    <w:jc w:val="center"/>
                  </w:pPr>
                  <w:r>
                    <w:t xml:space="preserve">Fuera del AOI: sur del SFF, sobre zona de rehabilitación hidráulica</w:t>
                  </w:r>
                </w:p>
              </w:tc>
            </w:tr>
            <w:tr>
              <w:tc>
                <w:tcPr/>
                <w:p>
                  <w:pPr>
                    <w:pStyle w:val="Compact"/>
                    <w:jc w:val="center"/>
                  </w:pPr>
                  <w:r>
                    <w:t xml:space="preserve">VIPIS</w:t>
                  </w:r>
                </w:p>
              </w:tc>
              <w:tc>
                <w:tcPr/>
                <w:p>
                  <w:pPr>
                    <w:pStyle w:val="Compact"/>
                    <w:jc w:val="center"/>
                  </w:pPr>
                  <w:r>
                    <w:t xml:space="preserve">Manglar</w:t>
                  </w:r>
                </w:p>
              </w:tc>
              <w:tc>
                <w:tcPr/>
                <w:p>
                  <w:pPr>
                    <w:pStyle w:val="Compact"/>
                    <w:jc w:val="center"/>
                  </w:pPr>
                  <w:r>
                    <w:t xml:space="preserve">Sí</w:t>
                  </w:r>
                </w:p>
              </w:tc>
              <w:tc>
                <w:tcPr/>
                <w:p>
                  <w:pPr>
                    <w:pStyle w:val="Compact"/>
                    <w:jc w:val="center"/>
                  </w:pPr>
                  <w:r>
                    <w:t xml:space="preserve">+0,12</w:t>
                  </w:r>
                </w:p>
              </w:tc>
              <w:tc>
                <w:tcPr/>
                <w:p>
                  <w:pPr>
                    <w:pStyle w:val="Compact"/>
                    <w:jc w:val="center"/>
                  </w:pPr>
                  <w:r>
                    <w:t xml:space="preserve">0,350</w:t>
                  </w:r>
                </w:p>
              </w:tc>
              <w:tc>
                <w:tcPr/>
                <w:p>
                  <w:pPr>
                    <w:pStyle w:val="Compact"/>
                    <w:jc w:val="center"/>
                  </w:pPr>
                  <w:r>
                    <w:t xml:space="preserve">9 de 16</w:t>
                  </w:r>
                </w:p>
              </w:tc>
              <w:tc>
                <w:tcPr/>
                <w:p>
                  <w:pPr>
                    <w:pStyle w:val="Compact"/>
                    <w:jc w:val="center"/>
                  </w:pPr>
                  <w:r>
                    <w:t xml:space="preserve">Sin afectación SAR mayor</w:t>
                  </w:r>
                </w:p>
              </w:tc>
            </w:tr>
          </w:tbl>
          <w:bookmarkEnd w:id="110"/>
          <w:p/>
        </w:tc>
      </w:tr>
    </w:tbl>
    <w:bookmarkEnd w:id="111"/>
    <w:bookmarkStart w:id="113" w:name="X5f77a84a9ded526816d969bfafd71f650e1fef9"/>
    <w:p>
      <w:pPr>
        <w:pStyle w:val="Heading2"/>
      </w:pPr>
      <w:r>
        <w:t xml:space="preserve">9.10 Dinamica hídrica: transiciones JRC en zonas de manglar</w:t>
      </w:r>
    </w:p>
    <w:p>
      <w:pPr>
        <w:pStyle w:val="FirstParagraph"/>
      </w:pPr>
      <w:r>
        <w:t xml:space="preserve">El análisis de las transiciones del JRC Global Surface Water restringido al AOI acotado revela una dinámica hídrica donde la pérdida y la ganancia de cuerpos de agua son aproximadamente del mismo orden, de esta manera el sistema lagunar se redistribuye más que se contrae. Se identifican 18,55 km² de agua permanente pérdida —cuerpos que se secaron entre 1984 y 2021— y 29,38 km² de agua estacional pérdida, en tanto que 23,55 km² aparecen como nuevo permanente y 31,31 km² como nuevo estacional; sumando, el sistema gana 54,86 km² y pierde 47,93 km² para un balance neto positivo de aproximadamente 7 km². De manera complementaria, 49,30 km² se clasifican como efímero estacional —zonas donde la inundación es esporádica y no sigue un patrón estacional definido— y 18,54 km² muestran transición de régimen permanente a estacional, lo que sugiere un retroceso parcial de la lámina de agua permanente. Estos hallazgos son coherentes con el contexto hidrológico de un humedal en proceso de rehabilitación tras la reapertura de canales (1996–1998) que reintrodujo la conexión con el río Magdalena, así la dinámica observada en la ventana JRC captura los efectos combinados de la intervención y de los episodios ENSO posteriores.</w:t>
      </w:r>
    </w:p>
    <w:tbl>
      <w:tblPr>
        <w:tblStyle w:val="Table"/>
        <w:tblW w:type="pct" w:w="5000"/>
        <w:tblLayout w:type="fixed"/>
        <w:tblLook w:firstRow="0" w:lastRow="0" w:firstColumn="0" w:lastColumn="0" w:noHBand="0" w:noVBand="0" w:val="0000"/>
      </w:tblPr>
      <w:tblGrid>
        <w:gridCol w:w="7920"/>
      </w:tblGrid>
      <w:tr>
        <w:tc>
          <w:tcPr/>
          <w:bookmarkStart w:id="112" w:name="tbl-jrc"/>
          <w:p>
            <w:pPr>
              <w:jc w:val="center"/>
            </w:pPr>
            <w:pPr>
              <w:jc w:val="left"/>
              <w:spacing w:before="200"/>
              <w:pStyle w:val="ImageCaption"/>
            </w:pPr>
            <w:r>
              <w:t xml:space="preserve">Tabla 19: Transiciones JRC Global Surface Water (1984–2021) dentro del AOI acotado SFF + VPI Salamanca. El AOI acotado contiene 385,3 km² de agua permanente (&gt;75 % del tiempo) y 44,1 km² de agua estacional (25–75 %), de modo que casi la mitad del polígono protegido es lámina de agua.</w:t>
            </w:r>
          </w:p>
          <w:tbl>
            <w:tblPr>
              <w:tblStyle w:val="Table"/>
              <w:tblW w:type="pct" w:w="5000"/>
              <w:tblLayout w:type="fixed"/>
              <w:tblLook w:firstRow="1" w:lastRow="0" w:firstColumn="0" w:lastColumn="0" w:noHBand="0" w:noVBand="0" w:val="0020"/>
            </w:tblPr>
            <w:tblGrid>
              <w:gridCol w:w="4233"/>
              <w:gridCol w:w="1502"/>
              <w:gridCol w:w="2184"/>
            </w:tblGrid>
            <w:tr>
              <w:trPr>
                <w:tblHeader w:val="on"/>
              </w:trPr>
              <w:tc>
                <w:tcPr/>
                <w:p>
                  <w:pPr>
                    <w:pStyle w:val="Compact"/>
                    <w:jc w:val="center"/>
                  </w:pPr>
                  <w:r>
                    <w:t xml:space="preserve">Transición JRC dentro del AOI acotado</w:t>
                  </w:r>
                </w:p>
              </w:tc>
              <w:tc>
                <w:tcPr/>
                <w:p>
                  <w:pPr>
                    <w:pStyle w:val="Compact"/>
                    <w:jc w:val="center"/>
                  </w:pPr>
                  <w:r>
                    <w:t xml:space="preserve">Área (km²)</w:t>
                  </w:r>
                </w:p>
              </w:tc>
              <w:tc>
                <w:tcPr/>
                <w:p>
                  <w:pPr>
                    <w:pStyle w:val="Compact"/>
                    <w:jc w:val="center"/>
                  </w:pPr>
                  <w:r>
                    <w:t xml:space="preserve">Interpretación</w:t>
                  </w:r>
                </w:p>
              </w:tc>
            </w:tr>
            <w:tr>
              <w:tc>
                <w:tcPr/>
                <w:p>
                  <w:pPr>
                    <w:pStyle w:val="Compact"/>
                    <w:jc w:val="center"/>
                  </w:pPr>
                  <w:r>
                    <w:t xml:space="preserve">Permanente</w:t>
                  </w:r>
                </w:p>
              </w:tc>
              <w:tc>
                <w:tcPr/>
                <w:p>
                  <w:pPr>
                    <w:pStyle w:val="Compact"/>
                    <w:jc w:val="center"/>
                  </w:pPr>
                  <w:r>
                    <w:t xml:space="preserve">377,75</w:t>
                  </w:r>
                </w:p>
              </w:tc>
              <w:tc>
                <w:tcPr/>
                <w:p>
                  <w:pPr>
                    <w:pStyle w:val="Compact"/>
                    <w:jc w:val="center"/>
                  </w:pPr>
                  <w:r>
                    <w:t xml:space="preserve">Lámina de agua estable</w:t>
                  </w:r>
                </w:p>
              </w:tc>
            </w:tr>
            <w:tr>
              <w:tc>
                <w:tcPr/>
                <w:p>
                  <w:pPr>
                    <w:pStyle w:val="Compact"/>
                    <w:jc w:val="center"/>
                  </w:pPr>
                  <w:r>
                    <w:t xml:space="preserve">Nuevo permanente</w:t>
                  </w:r>
                </w:p>
              </w:tc>
              <w:tc>
                <w:tcPr/>
                <w:p>
                  <w:pPr>
                    <w:pStyle w:val="Compact"/>
                    <w:jc w:val="center"/>
                  </w:pPr>
                  <w:r>
                    <w:t xml:space="preserve">23,55</w:t>
                  </w:r>
                </w:p>
              </w:tc>
              <w:tc>
                <w:tcPr/>
                <w:p>
                  <w:pPr>
                    <w:pStyle w:val="Compact"/>
                    <w:jc w:val="center"/>
                  </w:pPr>
                  <w:r>
                    <w:t xml:space="preserve">Cuerpos nuevos consolidados</w:t>
                  </w:r>
                </w:p>
              </w:tc>
            </w:tr>
            <w:tr>
              <w:tc>
                <w:tcPr/>
                <w:p>
                  <w:pPr>
                    <w:pStyle w:val="Compact"/>
                    <w:jc w:val="center"/>
                  </w:pPr>
                  <w:r>
                    <w:t xml:space="preserve">Permanente perdido</w:t>
                  </w:r>
                </w:p>
              </w:tc>
              <w:tc>
                <w:tcPr/>
                <w:p>
                  <w:pPr>
                    <w:pStyle w:val="Compact"/>
                    <w:jc w:val="center"/>
                  </w:pPr>
                  <w:r>
                    <w:t xml:space="preserve">18,55</w:t>
                  </w:r>
                </w:p>
              </w:tc>
              <w:tc>
                <w:tcPr/>
                <w:p>
                  <w:pPr>
                    <w:pStyle w:val="Compact"/>
                    <w:jc w:val="center"/>
                  </w:pPr>
                  <w:r>
                    <w:t xml:space="preserve">Cuerpos de agua secados</w:t>
                  </w:r>
                </w:p>
              </w:tc>
            </w:tr>
            <w:tr>
              <w:tc>
                <w:tcPr/>
                <w:p>
                  <w:pPr>
                    <w:pStyle w:val="Compact"/>
                    <w:jc w:val="center"/>
                  </w:pPr>
                  <w:r>
                    <w:t xml:space="preserve">Estacional</w:t>
                  </w:r>
                </w:p>
              </w:tc>
              <w:tc>
                <w:tcPr/>
                <w:p>
                  <w:pPr>
                    <w:pStyle w:val="Compact"/>
                    <w:jc w:val="center"/>
                  </w:pPr>
                  <w:r>
                    <w:t xml:space="preserve">17,98</w:t>
                  </w:r>
                </w:p>
              </w:tc>
              <w:tc>
                <w:tcPr/>
                <w:p>
                  <w:pPr>
                    <w:pStyle w:val="Compact"/>
                    <w:jc w:val="center"/>
                  </w:pPr>
                  <w:r>
                    <w:t xml:space="preserve">Zonas con régimen estacional estable</w:t>
                  </w:r>
                </w:p>
              </w:tc>
            </w:tr>
            <w:tr>
              <w:tc>
                <w:tcPr/>
                <w:p>
                  <w:pPr>
                    <w:pStyle w:val="Compact"/>
                    <w:jc w:val="center"/>
                  </w:pPr>
                  <w:r>
                    <w:t xml:space="preserve">Nuevo estacional</w:t>
                  </w:r>
                </w:p>
              </w:tc>
              <w:tc>
                <w:tcPr/>
                <w:p>
                  <w:pPr>
                    <w:pStyle w:val="Compact"/>
                    <w:jc w:val="center"/>
                  </w:pPr>
                  <w:r>
                    <w:t xml:space="preserve">31,31</w:t>
                  </w:r>
                </w:p>
              </w:tc>
              <w:tc>
                <w:tcPr/>
                <w:p>
                  <w:pPr>
                    <w:pStyle w:val="Compact"/>
                    <w:jc w:val="center"/>
                  </w:pPr>
                  <w:r>
                    <w:t xml:space="preserve">Nuevas áreas de inundación estacional</w:t>
                  </w:r>
                </w:p>
              </w:tc>
            </w:tr>
            <w:tr>
              <w:tc>
                <w:tcPr/>
                <w:p>
                  <w:pPr>
                    <w:pStyle w:val="Compact"/>
                    <w:jc w:val="center"/>
                  </w:pPr>
                  <w:r>
                    <w:t xml:space="preserve">Estacional perdido</w:t>
                  </w:r>
                </w:p>
              </w:tc>
              <w:tc>
                <w:tcPr/>
                <w:p>
                  <w:pPr>
                    <w:pStyle w:val="Compact"/>
                    <w:jc w:val="center"/>
                  </w:pPr>
                  <w:r>
                    <w:t xml:space="preserve">29,38</w:t>
                  </w:r>
                </w:p>
              </w:tc>
              <w:tc>
                <w:tcPr/>
                <w:p>
                  <w:pPr>
                    <w:pStyle w:val="Compact"/>
                    <w:jc w:val="center"/>
                  </w:pPr>
                  <w:r>
                    <w:t xml:space="preserve">Zonas que dejaron de inundarse</w:t>
                  </w:r>
                </w:p>
              </w:tc>
            </w:tr>
            <w:tr>
              <w:tc>
                <w:tcPr/>
                <w:p>
                  <w:pPr>
                    <w:pStyle w:val="Compact"/>
                    <w:jc w:val="center"/>
                  </w:pPr>
                  <w:r>
                    <w:t xml:space="preserve">Permanente a estacional</w:t>
                  </w:r>
                </w:p>
              </w:tc>
              <w:tc>
                <w:tcPr/>
                <w:p>
                  <w:pPr>
                    <w:pStyle w:val="Compact"/>
                    <w:jc w:val="center"/>
                  </w:pPr>
                  <w:r>
                    <w:t xml:space="preserve">18,54</w:t>
                  </w:r>
                </w:p>
              </w:tc>
              <w:tc>
                <w:tcPr/>
                <w:p>
                  <w:pPr>
                    <w:pStyle w:val="Compact"/>
                    <w:jc w:val="center"/>
                  </w:pPr>
                  <w:r>
                    <w:t xml:space="preserve">Retroceso parcial de lámina permanente</w:t>
                  </w:r>
                </w:p>
              </w:tc>
            </w:tr>
            <w:tr>
              <w:tc>
                <w:tcPr/>
                <w:p>
                  <w:pPr>
                    <w:pStyle w:val="Compact"/>
                    <w:jc w:val="center"/>
                  </w:pPr>
                  <w:r>
                    <w:t xml:space="preserve">Efímero estacional</w:t>
                  </w:r>
                </w:p>
              </w:tc>
              <w:tc>
                <w:tcPr/>
                <w:p>
                  <w:pPr>
                    <w:pStyle w:val="Compact"/>
                    <w:jc w:val="center"/>
                  </w:pPr>
                  <w:r>
                    <w:t xml:space="preserve">49,30</w:t>
                  </w:r>
                </w:p>
              </w:tc>
              <w:tc>
                <w:tcPr/>
                <w:p>
                  <w:pPr>
                    <w:pStyle w:val="Compact"/>
                    <w:jc w:val="center"/>
                  </w:pPr>
                  <w:r>
                    <w:t xml:space="preserve">Inundación intermitente sin patrón estacional</w:t>
                  </w:r>
                </w:p>
              </w:tc>
            </w:tr>
            <w:tr>
              <w:tc>
                <w:tcPr/>
                <w:p>
                  <w:pPr>
                    <w:pStyle w:val="Compact"/>
                    <w:jc w:val="center"/>
                  </w:pPr>
                  <w:r>
                    <w:t xml:space="preserve">Efímero permanente</w:t>
                  </w:r>
                </w:p>
              </w:tc>
              <w:tc>
                <w:tcPr/>
                <w:p>
                  <w:pPr>
                    <w:pStyle w:val="Compact"/>
                    <w:jc w:val="center"/>
                  </w:pPr>
                  <w:r>
                    <w:t xml:space="preserve">1,74</w:t>
                  </w:r>
                </w:p>
              </w:tc>
              <w:tc>
                <w:tcPr/>
                <w:p>
                  <w:pPr>
                    <w:pStyle w:val="Compact"/>
                    <w:jc w:val="center"/>
                  </w:pPr>
                  <w:r>
                    <w:t xml:space="preserve">Agua intermitente persistente</w:t>
                  </w:r>
                </w:p>
              </w:tc>
            </w:tr>
          </w:tbl>
          <w:bookmarkEnd w:id="112"/>
          <w:p/>
        </w:tc>
      </w:tr>
    </w:tbl>
    <w:bookmarkEnd w:id="113"/>
    <w:bookmarkStart w:id="115" w:name="Xff8fedec816b379b4dd0634548dc750ba92c5ee"/>
    <w:p>
      <w:pPr>
        <w:pStyle w:val="Heading2"/>
      </w:pPr>
      <w:r>
        <w:t xml:space="preserve">9.11 Validación doble contra cartografía oficial (INVEMAR 1:25.000) y global (ESA WorldCover v200)</w:t>
      </w:r>
    </w:p>
    <w:p>
      <w:pPr>
        <w:pStyle w:val="FirstParagraph"/>
      </w:pPr>
      <w:r>
        <w:t xml:space="preserve">La clasificación por umbrales espectrales se valida sobre el AOI acotado contra</w:t>
      </w:r>
      <w:r>
        <w:t xml:space="preserve"> </w:t>
      </w:r>
      <w:r>
        <w:rPr>
          <w:b/>
          <w:bCs/>
        </w:rPr>
        <w:t xml:space="preserve">ESA WorldCover v200</w:t>
      </w:r>
      <w:r>
        <w:t xml:space="preserve"> </w:t>
      </w:r>
      <w: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dataset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t xml:space="preserve"> </w:t>
      </w:r>
      <w:r>
        <w:rPr>
          <w:rStyle w:val="VerbatimChar"/>
        </w:rPr>
        <w:t xml:space="preserve">reduceRegion</w:t>
      </w:r>
      <w:r>
        <w:t xml:space="preserve"> </w:t>
      </w:r>
      <w: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t xml:space="preserve">Los resultados sobre el AOI acotado mejoran sustancialmente respecto al baseline envolvente de la iteración preliminar: el F1-score pasa de 0,442 a</w:t>
      </w:r>
      <w:r>
        <w:t xml:space="preserve"> </w:t>
      </w:r>
      <w:r>
        <w:rPr>
          <w:b/>
          <w:bCs/>
        </w:rPr>
        <w:t xml:space="preserve">0,548</w:t>
      </w:r>
      <w:r>
        <w:t xml:space="preserve"> </w:t>
      </w:r>
      <w:r>
        <w:t xml:space="preserve">(+24 %), la Precisión (acuerdo positivo predictivo) sube de 0,428 a</w:t>
      </w:r>
      <w:r>
        <w:t xml:space="preserve"> </w:t>
      </w:r>
      <w:r>
        <w:rPr>
          <w:b/>
          <w:bCs/>
        </w:rPr>
        <w:t xml:space="preserve">0,768</w:t>
      </w:r>
      <w:r>
        <w:t xml:space="preserve"> </w:t>
      </w:r>
      <w:r>
        <w:t xml:space="preserve">(+79 %) y la Specificity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Overall Accuracy desciende de 0,899 a 0,788 únicamente porque la prevalencia de la clase positiva pasa de cerca del 8 % en el AOI envolvente a aproximadamente el 30 % en el AOI acotado, lo cual hace de OA una métrica menos engañosa y más informativa pues deja de estar dominada por el acuerdo trivial sobre la clase mayoritaria.</w:t>
      </w:r>
    </w:p>
    <w:p>
      <w:pPr>
        <w:pStyle w:val="BodyText"/>
      </w:pPr>
      <w:r>
        <w:t xml:space="preserve">Conviene precisar tres aspectos del alcance de la validación. En primer lugar, la métrica reportada se calcula sobre la clasificación por umbrales espectrales con restricciónes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t xml:space="preserve">Adicionalmente al cálculo de la matriz contra WorldCover, se descarga la cartografía oficial colombiana de manglares a escala 1:25.000 públicada por el Instituto de Investigaciones Marinas y Costeras (INVEMAR, 2020) mediante el servicio ArcGIS REST</w:t>
      </w:r>
      <w:r>
        <w:t xml:space="preserve"> </w:t>
      </w:r>
      <w:r>
        <w:rPr>
          <w:rStyle w:val="VerbatimChar"/>
        </w:rPr>
        <w:t xml:space="preserve">SIGMA/MANGLARES_COLOMBIA</w:t>
      </w:r>
      <w:r>
        <w:t xml:space="preserve">, asimismo el clasificador se evalúa simultáneamente contra dos referencias independientes —una global con criterio supervisado a 10 m y una nacional con criterio fotointerpretado a escala 1:25.000—, lo cual ofrece una validación robusta y permite establecer un techo metodológico realista para el F1 esperable. La cartografía INVEMAR se rasteriza sobre la misma grilla de WorldCover a 25 m de resolución usando</w:t>
      </w:r>
      <w:r>
        <w:t xml:space="preserve"> </w:t>
      </w:r>
      <w:r>
        <w:rPr>
          <w:rStyle w:val="VerbatimChar"/>
        </w:rPr>
        <w:t xml:space="preserve">rasterio.features.rasterize</w:t>
      </w:r>
      <w:r>
        <w:t xml:space="preserve"> </w:t>
      </w:r>
      <w:r>
        <w:t xml:space="preserve">con el parámetro</w:t>
      </w:r>
      <w:r>
        <w:t xml:space="preserve"> </w:t>
      </w:r>
      <w:r>
        <w:rPr>
          <w:rStyle w:val="VerbatimChar"/>
        </w:rPr>
        <w:t xml:space="preserve">all_touched=True</w:t>
      </w:r>
      <w:r>
        <w:t xml:space="preserve"> </w:t>
      </w:r>
      <w:r>
        <w:t xml:space="preserve">y limpieza prevía de geometrías inválidas con</w:t>
      </w:r>
      <w:r>
        <w:t xml:space="preserve"> </w:t>
      </w:r>
      <w:r>
        <w:rPr>
          <w:rStyle w:val="VerbatimChar"/>
        </w:rPr>
        <w:t xml:space="preserve">shapely.validation.make_valid</w:t>
      </w:r>
      <w:r>
        <w:t xml:space="preserve">, así los nueve MultiPolygon presentes —que concentran el 86 % del área total y serían descartados silenciosamente por una rasterización ingenua— quedan correctamente incorporados a la comparación.</w:t>
      </w:r>
    </w:p>
    <w:tbl>
      <w:tblPr>
        <w:tblStyle w:val="Table"/>
        <w:tblW w:type="pct" w:w="5000"/>
        <w:tblLayout w:type="fixed"/>
        <w:tblLook w:firstRow="0" w:lastRow="0" w:firstColumn="0" w:lastColumn="0" w:noHBand="0" w:noVBand="0" w:val="0000"/>
      </w:tblPr>
      <w:tblGrid>
        <w:gridCol w:w="7920"/>
      </w:tblGrid>
      <w:tr>
        <w:tc>
          <w:tcPr/>
          <w:bookmarkStart w:id="114" w:name="tbl-validación"/>
          <w:p>
            <w:pPr>
              <w:jc w:val="center"/>
            </w:pPr>
            <w:pPr>
              <w:jc w:val="left"/>
              <w:spacing w:before="200"/>
              <w:pStyle w:val="ImageCaption"/>
            </w:pPr>
            <w:r>
              <w:t xml:space="preserve">Tabla 20: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baseline envolvente corresponde a la iteración preliminar sobre 5.073 km²; las dos columnas vigentes corresponden al AOI acotado SFF + VPI (835 km²) y constituyen la validación doble del informe v6.</w:t>
            </w:r>
          </w:p>
          <w:tbl>
            <w:tblPr>
              <w:tblStyle w:val="Table"/>
              <w:tblW w:type="pct" w:w="5000"/>
              <w:tblLayout w:type="fixed"/>
              <w:tblLook w:firstRow="1" w:lastRow="0" w:firstColumn="0" w:lastColumn="0" w:noHBand="0" w:noVBand="0" w:val="0020"/>
            </w:tblPr>
            <w:tblGrid>
              <w:gridCol w:w="1742"/>
              <w:gridCol w:w="1742"/>
              <w:gridCol w:w="2217"/>
              <w:gridCol w:w="2217"/>
            </w:tblGrid>
            <w:tr>
              <w:trPr>
                <w:tblHeader w:val="on"/>
              </w:trPr>
              <w:tc>
                <w:tcPr/>
                <w:p>
                  <w:pPr>
                    <w:pStyle w:val="Compact"/>
                    <w:jc w:val="center"/>
                  </w:pPr>
                  <w:r>
                    <w:t xml:space="preserve">Métrica</w:t>
                  </w:r>
                </w:p>
              </w:tc>
              <w:tc>
                <w:tcPr/>
                <w:p>
                  <w:pPr>
                    <w:pStyle w:val="Compact"/>
                    <w:jc w:val="center"/>
                  </w:pPr>
                  <w:r>
                    <w:t xml:space="preserve">Baseline envolvente</w:t>
                  </w:r>
                </w:p>
              </w:tc>
              <w:tc>
                <w:tcPr/>
                <w:p>
                  <w:pPr>
                    <w:pStyle w:val="Compact"/>
                    <w:jc w:val="center"/>
                  </w:pPr>
                  <w:r>
                    <w:t xml:space="preserve">INVEMAR 1:25.000 (vigente)</w:t>
                  </w:r>
                </w:p>
              </w:tc>
              <w:tc>
                <w:tcPr/>
                <w:p>
                  <w:pPr>
                    <w:pStyle w:val="Compact"/>
                    <w:jc w:val="center"/>
                  </w:pPr>
                  <w:r>
                    <w:t xml:space="preserve">ESA WorldCover v200 (vigente)</w:t>
                  </w:r>
                </w:p>
              </w:tc>
            </w:tr>
            <w:tr>
              <w:tc>
                <w:tcPr/>
                <w:p>
                  <w:pPr>
                    <w:pStyle w:val="Compact"/>
                    <w:jc w:val="center"/>
                  </w:pPr>
                  <w:r>
                    <w:t xml:space="preserve">Overall Accuracy (OA)</w:t>
                  </w:r>
                </w:p>
              </w:tc>
              <w:tc>
                <w:tcPr/>
                <w:p>
                  <w:pPr>
                    <w:pStyle w:val="Compact"/>
                    <w:jc w:val="center"/>
                  </w:pPr>
                  <w:r>
                    <w:t xml:space="preserve">0,899</w:t>
                  </w:r>
                </w:p>
              </w:tc>
              <w:tc>
                <w:tcPr/>
                <w:p>
                  <w:pPr>
                    <w:pStyle w:val="Compact"/>
                    <w:jc w:val="center"/>
                  </w:pPr>
                  <w:r>
                    <w:t xml:space="preserve">0,803</w:t>
                  </w:r>
                </w:p>
              </w:tc>
              <w:tc>
                <w:tcPr/>
                <w:p>
                  <w:pPr>
                    <w:pStyle w:val="Compact"/>
                    <w:jc w:val="center"/>
                  </w:pPr>
                  <w:r>
                    <w:t xml:space="preserve">0,788</w:t>
                  </w:r>
                </w:p>
              </w:tc>
            </w:tr>
            <w:tr>
              <w:tc>
                <w:tcPr/>
                <w:p>
                  <w:pPr>
                    <w:pStyle w:val="Compact"/>
                    <w:jc w:val="center"/>
                  </w:pPr>
                  <w:r>
                    <w:t xml:space="preserve">Precisión (Producer’s)</w:t>
                  </w:r>
                </w:p>
              </w:tc>
              <w:tc>
                <w:tcPr/>
                <w:p>
                  <w:pPr>
                    <w:pStyle w:val="Compact"/>
                    <w:jc w:val="center"/>
                  </w:pPr>
                  <w:r>
                    <w:t xml:space="preserve">0,428</w:t>
                  </w:r>
                </w:p>
              </w:tc>
              <w:tc>
                <w:tcPr/>
                <w:p>
                  <w:pPr>
                    <w:pStyle w:val="Compact"/>
                    <w:jc w:val="center"/>
                  </w:pPr>
                  <w:r>
                    <w:rPr>
                      <w:b/>
                      <w:bCs/>
                    </w:rPr>
                    <w:t xml:space="preserve">0,811</w:t>
                  </w:r>
                </w:p>
              </w:tc>
              <w:tc>
                <w:tcPr/>
                <w:p>
                  <w:pPr>
                    <w:pStyle w:val="Compact"/>
                    <w:jc w:val="center"/>
                  </w:pPr>
                  <w:r>
                    <w:t xml:space="preserve">0,768</w:t>
                  </w:r>
                </w:p>
              </w:tc>
            </w:tr>
            <w:tr>
              <w:tc>
                <w:tcPr/>
                <w:p>
                  <w:pPr>
                    <w:pStyle w:val="Compact"/>
                    <w:jc w:val="center"/>
                  </w:pPr>
                  <w:r>
                    <w:t xml:space="preserve">Recall (User’s)</w:t>
                  </w:r>
                </w:p>
              </w:tc>
              <w:tc>
                <w:tcPr/>
                <w:p>
                  <w:pPr>
                    <w:pStyle w:val="Compact"/>
                    <w:jc w:val="center"/>
                  </w:pPr>
                  <w:r>
                    <w:t xml:space="preserve">0,457</w:t>
                  </w:r>
                </w:p>
              </w:tc>
              <w:tc>
                <w:tcPr/>
                <w:p>
                  <w:pPr>
                    <w:pStyle w:val="Compact"/>
                    <w:jc w:val="center"/>
                  </w:pPr>
                  <w:r>
                    <w:t xml:space="preserve">0,454</w:t>
                  </w:r>
                </w:p>
              </w:tc>
              <w:tc>
                <w:tcPr/>
                <w:p>
                  <w:pPr>
                    <w:pStyle w:val="Compact"/>
                    <w:jc w:val="center"/>
                  </w:pPr>
                  <w:r>
                    <w:t xml:space="preserve">0,426</w:t>
                  </w:r>
                </w:p>
              </w:tc>
            </w:tr>
            <w:tr>
              <w:tc>
                <w:tcPr/>
                <w:p>
                  <w:pPr>
                    <w:pStyle w:val="Compact"/>
                    <w:jc w:val="center"/>
                  </w:pPr>
                  <w:r>
                    <w:t xml:space="preserve">F1-score</w:t>
                  </w:r>
                </w:p>
              </w:tc>
              <w:tc>
                <w:tcPr/>
                <w:p>
                  <w:pPr>
                    <w:pStyle w:val="Compact"/>
                    <w:jc w:val="center"/>
                  </w:pPr>
                  <w:r>
                    <w:t xml:space="preserve">0,442</w:t>
                  </w:r>
                </w:p>
              </w:tc>
              <w:tc>
                <w:tcPr/>
                <w:p>
                  <w:pPr>
                    <w:pStyle w:val="Compact"/>
                    <w:jc w:val="center"/>
                  </w:pPr>
                  <w:r>
                    <w:rPr>
                      <w:b/>
                      <w:bCs/>
                    </w:rPr>
                    <w:t xml:space="preserve">0,583</w:t>
                  </w:r>
                </w:p>
              </w:tc>
              <w:tc>
                <w:tcPr/>
                <w:p>
                  <w:pPr>
                    <w:pStyle w:val="Compact"/>
                    <w:jc w:val="center"/>
                  </w:pPr>
                  <w:r>
                    <w:t xml:space="preserve">0,548</w:t>
                  </w:r>
                </w:p>
              </w:tc>
            </w:tr>
            <w:tr>
              <w:tc>
                <w:tcPr/>
                <w:p>
                  <w:pPr>
                    <w:pStyle w:val="Compact"/>
                    <w:jc w:val="center"/>
                  </w:pPr>
                  <w:r>
                    <w:t xml:space="preserve">Specificity</w:t>
                  </w:r>
                </w:p>
              </w:tc>
              <w:tc>
                <w:tcPr/>
                <w:p>
                  <w:pPr>
                    <w:pStyle w:val="Compact"/>
                    <w:jc w:val="center"/>
                  </w:pPr>
                  <w:r>
                    <w:t xml:space="preserve">—</w:t>
                  </w:r>
                </w:p>
              </w:tc>
              <w:tc>
                <w:tcPr/>
                <w:p>
                  <w:pPr>
                    <w:pStyle w:val="Compact"/>
                    <w:jc w:val="center"/>
                  </w:pPr>
                  <w:r>
                    <w:t xml:space="preserve">0,954</w:t>
                  </w:r>
                </w:p>
              </w:tc>
              <w:tc>
                <w:tcPr/>
                <w:p>
                  <w:pPr>
                    <w:pStyle w:val="Compact"/>
                    <w:jc w:val="center"/>
                  </w:pPr>
                  <w:r>
                    <w:t xml:space="preserve">0,944</w:t>
                  </w:r>
                </w:p>
              </w:tc>
            </w:tr>
            <w:tr>
              <w:tc>
                <w:tcPr/>
                <w:p>
                  <w:pPr>
                    <w:pStyle w:val="Compact"/>
                    <w:jc w:val="center"/>
                  </w:pPr>
                  <w:r>
                    <w:t xml:space="preserve">TP / FP / FN / TN</w:t>
                  </w:r>
                </w:p>
              </w:tc>
              <w:tc>
                <w:tcPr/>
                <w:p>
                  <w:pPr>
                    <w:pStyle w:val="Compact"/>
                    <w:jc w:val="center"/>
                  </w:pPr>
                  <w:r>
                    <w:t xml:space="preserve">—</w:t>
                  </w:r>
                </w:p>
              </w:tc>
              <w:tc>
                <w:tcPr/>
                <w:p>
                  <w:pPr>
                    <w:pStyle w:val="Compact"/>
                    <w:jc w:val="center"/>
                  </w:pPr>
                  <w:r>
                    <w:t xml:space="preserve">188.097 / 43.777 / 225.733 / 913.309</w:t>
                  </w:r>
                </w:p>
              </w:tc>
              <w:tc>
                <w:tcPr/>
                <w:p>
                  <w:pPr>
                    <w:pStyle w:val="Compact"/>
                    <w:jc w:val="center"/>
                  </w:pPr>
                  <w:r>
                    <w:t xml:space="preserve">175.862 / 53.220 / 237.006 / 904.799</w:t>
                  </w:r>
                </w:p>
              </w:tc>
            </w:tr>
            <w:tr>
              <w:tc>
                <w:tcPr/>
                <w:p>
                  <w:pPr>
                    <w:pStyle w:val="Compact"/>
                    <w:jc w:val="center"/>
                  </w:pPr>
                  <w:r>
                    <w:t xml:space="preserve">Área referencia 2020-2021</w:t>
                  </w:r>
                </w:p>
              </w:tc>
              <w:tc>
                <w:tcPr/>
                <w:p>
                  <w:pPr>
                    <w:pStyle w:val="Compact"/>
                    <w:jc w:val="center"/>
                  </w:pPr>
                  <w:r>
                    <w:t xml:space="preserve">376,5 km² (GMW v3)</w:t>
                  </w:r>
                </w:p>
              </w:tc>
              <w:tc>
                <w:tcPr/>
                <w:p>
                  <w:pPr>
                    <w:pStyle w:val="Compact"/>
                    <w:jc w:val="center"/>
                  </w:pPr>
                  <w:r>
                    <w:t xml:space="preserve">297 km² (INVEMAR ∩ AOI)</w:t>
                  </w:r>
                </w:p>
              </w:tc>
              <w:tc>
                <w:tcPr/>
                <w:p>
                  <w:pPr>
                    <w:pStyle w:val="Compact"/>
                    <w:jc w:val="center"/>
                  </w:pPr>
                  <w:r>
                    <w:t xml:space="preserve">258 km² (WorldCover ∩ AOI)</w:t>
                  </w:r>
                </w:p>
              </w:tc>
            </w:tr>
            <w:tr>
              <w:tc>
                <w:tcPr/>
                <w:p>
                  <w:pPr>
                    <w:pStyle w:val="Compact"/>
                    <w:jc w:val="center"/>
                  </w:pPr>
                  <w:r>
                    <w:t xml:space="preserve">Área clasificación</w:t>
                  </w:r>
                </w:p>
              </w:tc>
              <w:tc>
                <w:tcPr/>
                <w:p>
                  <w:pPr>
                    <w:pStyle w:val="Compact"/>
                    <w:jc w:val="center"/>
                  </w:pPr>
                  <w:r>
                    <w:t xml:space="preserve">556,0 km²</w:t>
                  </w:r>
                </w:p>
              </w:tc>
              <w:tc>
                <w:tcPr/>
                <w:p>
                  <w:pPr>
                    <w:pStyle w:val="Compact"/>
                    <w:jc w:val="center"/>
                  </w:pPr>
                  <w:r>
                    <w:t xml:space="preserve">147 km²</w:t>
                  </w:r>
                </w:p>
              </w:tc>
              <w:tc>
                <w:tcPr/>
                <w:p>
                  <w:pPr>
                    <w:pStyle w:val="Compact"/>
                    <w:jc w:val="center"/>
                  </w:pPr>
                  <w:r>
                    <w:t xml:space="preserve">147 km²</w:t>
                  </w:r>
                </w:p>
              </w:tc>
            </w:tr>
            <w:tr>
              <w:tc>
                <w:tcPr/>
                <w:p>
                  <w:pPr>
                    <w:pStyle w:val="Compact"/>
                    <w:jc w:val="center"/>
                  </w:pPr>
                  <w:r>
                    <w:t xml:space="preserve">Resolución de evaluación</w:t>
                  </w:r>
                </w:p>
              </w:tc>
              <w:tc>
                <w:tcPr/>
                <w:p>
                  <w:pPr>
                    <w:pStyle w:val="Compact"/>
                    <w:jc w:val="center"/>
                  </w:pPr>
                  <w:r>
                    <w:t xml:space="preserve">25 m</w:t>
                  </w:r>
                </w:p>
              </w:tc>
              <w:tc>
                <w:tcPr/>
                <w:p>
                  <w:pPr>
                    <w:pStyle w:val="Compact"/>
                    <w:jc w:val="center"/>
                  </w:pPr>
                  <w:r>
                    <w:t xml:space="preserve">25 m</w:t>
                  </w:r>
                </w:p>
              </w:tc>
              <w:tc>
                <w:tcPr/>
                <w:p>
                  <w:pPr>
                    <w:pStyle w:val="Compact"/>
                    <w:jc w:val="center"/>
                  </w:pPr>
                  <w:r>
                    <w:t xml:space="preserve">25 m</w:t>
                  </w:r>
                </w:p>
              </w:tc>
            </w:tr>
            <w:tr>
              <w:tc>
                <w:tcPr/>
                <w:p>
                  <w:pPr>
                    <w:pStyle w:val="Compact"/>
                    <w:jc w:val="center"/>
                  </w:pPr>
                  <w:r>
                    <w:t xml:space="preserve">Umbrales</w:t>
                  </w:r>
                </w:p>
              </w:tc>
              <w:tc>
                <w:tcPr/>
                <w:p>
                  <w:pPr>
                    <w:pStyle w:val="Compact"/>
                    <w:jc w:val="center"/>
                  </w:pPr>
                  <w:r>
                    <w:t xml:space="preserve">NDVI &gt; 0,70, elev &lt; 10 m, agua &lt; 3 km</w:t>
                  </w:r>
                </w:p>
              </w:tc>
              <w:tc>
                <w:tcPr/>
                <w:p>
                  <w:pPr>
                    <w:pStyle w:val="Compact"/>
                    <w:jc w:val="center"/>
                  </w:pPr>
                  <w:r>
                    <w:t xml:space="preserve">idem</w:t>
                  </w:r>
                </w:p>
              </w:tc>
              <w:tc>
                <w:tcPr/>
                <w:p>
                  <w:pPr>
                    <w:pStyle w:val="Compact"/>
                    <w:jc w:val="center"/>
                  </w:pPr>
                  <w:r>
                    <w:t xml:space="preserve">idem</w:t>
                  </w:r>
                </w:p>
              </w:tc>
            </w:tr>
          </w:tbl>
          <w:bookmarkEnd w:id="114"/>
          <w:p/>
        </w:tc>
      </w:tr>
    </w:tbl>
    <w:p>
      <w:pPr>
        <w:pStyle w:val="BodyText"/>
      </w:pPr>
      <w:r>
        <w:t xml:space="preserve">Como medida de</w:t>
      </w:r>
      <w:r>
        <w:t xml:space="preserve"> </w:t>
      </w:r>
      <w:r>
        <w:rPr>
          <w:b/>
          <w:bCs/>
        </w:rPr>
        <w:t xml:space="preserve">techo metodológico</w:t>
      </w:r>
      <w:r>
        <w:t xml:space="preserve">, conviene reportar también el acuerdo directo entre las dos cartografías de referencia: la matriz de confusión INVEMAR 1:25.000 vs ESA WorldCover v200 sobre el AOI acotado arroja un F1-score de</w:t>
      </w:r>
      <w:r>
        <w:t xml:space="preserve"> </w:t>
      </w:r>
      <w:r>
        <w:rPr>
          <w:b/>
          <w:bCs/>
        </w:rPr>
        <w:t xml:space="preserve">0,833</w:t>
      </w:r>
      <w:r>
        <w:t xml:space="preserve"> </w:t>
      </w:r>
      <w:r>
        <w:t xml:space="preserve">(Precisión = 0,833, Recall = 0,832, Specificity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115"/>
    <w:bookmarkStart w:id="121" w:name="Xd5feb7c9336cadb475d1af79d310ebc1e586570"/>
    <w:p>
      <w:pPr>
        <w:pStyle w:val="Heading2"/>
      </w:pPr>
      <w:r>
        <w:t xml:space="preserve">9.12 Benchmark del clasificador supervisado Random Forest</w:t>
      </w:r>
    </w:p>
    <w:p>
      <w:pPr>
        <w:pStyle w:val="FirstParagraph"/>
      </w:pPr>
      <w:r>
        <w:t xml:space="preserve">Con el propósito de cuantificar la ganancia esperable al sustituir la regla determinística por umbrales NDVI y CMRI por un clasificador supervisado, se implementa un</w:t>
      </w:r>
      <w:r>
        <w:t xml:space="preserve"> </w:t>
      </w:r>
      <w:r>
        <w:rPr>
          <w:b/>
          <w:bCs/>
        </w:rPr>
        <w:t xml:space="preserve">Random Forest</w:t>
      </w:r>
      <w:r>
        <w:t xml:space="preserve"> </w:t>
      </w:r>
      <w:r>
        <w:t xml:space="preserve">dentro de Google Earth Engine sobre la misma imagen mediana Sentinel-2 del periodo actual (2024-2025) y el mismo AOI acotado, siguiendo el notebook reproducible</w:t>
      </w:r>
      <w:r>
        <w:t xml:space="preserve"> </w:t>
      </w:r>
      <w:r>
        <w:rPr>
          <w:rStyle w:val="VerbatimChar"/>
        </w:rPr>
        <w:t xml:space="preserve">11_random_forest_benchmark.ipynb</w:t>
      </w:r>
      <w:r>
        <w:t xml:space="preserve">. El modelo opera con 100 árboles,</w:t>
      </w:r>
      <w:r>
        <w:t xml:space="preserve"> </w:t>
      </w:r>
      <w:r>
        <w:rPr>
          <w:rStyle w:val="VerbatimChar"/>
        </w:rPr>
        <w:t xml:space="preserve">minLeafPopulation = 5</w:t>
      </w:r>
      <w:r>
        <w:t xml:space="preserve"> </w:t>
      </w:r>
      <w:r>
        <w:t xml:space="preserve">y un conjunto de 15 variables predictoras —las diez bandas reflectivas de Sentinel-2 (B2 a B12), los tres índices espectrales (NDVI, NDWI, CMRI) y dos variables auxiliares (elevación SRTM y distancia al agua JRC)—. El entrenamiento utiliza 1.000 puntos estratificados sobre la cartografía oficial INVEMAR 1:25.000 (500 manglar, 500 no manglar), con validación cruzada K-fold (K=5) y métricas reportadas sobre el conjunto retenido en cada partición. El clasificador resultante se aplica píxel a píxel a la imagen completa y se evalúa contra las mismas dos referencias del clasificador por umbrales, en condiciones experimentales idénticas para garantizar comparabilidad.</w:t>
      </w:r>
    </w:p>
    <w:tbl>
      <w:tblPr>
        <w:tblStyle w:val="Table"/>
        <w:tblW w:type="pct" w:w="5000"/>
        <w:tblLayout w:type="fixed"/>
        <w:tblLook w:firstRow="0" w:lastRow="0" w:firstColumn="0" w:lastColumn="0" w:noHBand="0" w:noVBand="0" w:val="0000"/>
      </w:tblPr>
      <w:tblGrid>
        <w:gridCol w:w="7920"/>
      </w:tblGrid>
      <w:tr>
        <w:tc>
          <w:tcPr/>
          <w:bookmarkStart w:id="116" w:name="tbl-benchmark-rf"/>
          <w:p>
            <w:pPr>
              <w:jc w:val="center"/>
            </w:pPr>
            <w:pPr>
              <w:jc w:val="left"/>
              <w:spacing w:before="200"/>
              <w:pStyle w:val="ImageCaption"/>
            </w:pPr>
            <w:r>
              <w:t xml:space="preserve">Tabla 21: Benchmark del clasificador supervisado Random Forest frente al clasificador determinístico por umbrales espectrales, sobre el AOI acotado y la mediana Sentinel-2 del periodo actual 2024-2025. El RF se entrena con 1.000 puntos estratificados sobre ESA WorldCover v200 y validación cruzada K-fold = 5 (F1 medio = 0,931 ± 0,017). Las métricas pixel-a-pixel se calculan sobre n = 10.000 puntos de muestreo aleatorio dentro del AOI.</w:t>
            </w:r>
          </w:p>
          <w:tbl>
            <w:tblPr>
              <w:tblStyle w:val="Table"/>
              <w:tblW w:type="pct" w:w="5000"/>
              <w:tblLayout w:type="fixed"/>
              <w:tblLook w:firstRow="1" w:lastRow="0" w:firstColumn="0" w:lastColumn="0" w:noHBand="0" w:noVBand="0" w:val="0020"/>
            </w:tblPr>
            <w:tblGrid>
              <w:gridCol w:w="1742"/>
              <w:gridCol w:w="1900"/>
              <w:gridCol w:w="792"/>
              <w:gridCol w:w="950"/>
              <w:gridCol w:w="792"/>
              <w:gridCol w:w="950"/>
              <w:gridCol w:w="792"/>
            </w:tblGrid>
            <w:tr>
              <w:trPr>
                <w:tblHeader w:val="on"/>
              </w:trPr>
              <w:tc>
                <w:tcPr/>
                <w:p>
                  <w:pPr>
                    <w:pStyle w:val="Compact"/>
                    <w:jc w:val="center"/>
                  </w:pPr>
                  <w:r>
                    <w:t xml:space="preserve">Método</w:t>
                  </w:r>
                </w:p>
              </w:tc>
              <w:tc>
                <w:tcPr/>
                <w:p>
                  <w:pPr>
                    <w:pStyle w:val="Compact"/>
                    <w:jc w:val="center"/>
                  </w:pPr>
                  <w:r>
                    <w:t xml:space="preserve">Referencia</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Specificity</w:t>
                  </w:r>
                </w:p>
              </w:tc>
              <w:tc>
                <w:tcPr/>
                <w:p>
                  <w:pPr>
                    <w:pStyle w:val="Compact"/>
                    <w:jc w:val="center"/>
                  </w:pPr>
                  <w:r>
                    <w:t xml:space="preserve">OA</w:t>
                  </w:r>
                </w:p>
              </w:tc>
            </w:tr>
            <w:tr>
              <w:tc>
                <w:tcPr/>
                <w:p>
                  <w:pPr>
                    <w:pStyle w:val="Compact"/>
                    <w:jc w:val="center"/>
                  </w:pPr>
                  <w:r>
                    <w:t xml:space="preserve">Umbrales NDVI/CMRI</w:t>
                  </w:r>
                </w:p>
              </w:tc>
              <w:tc>
                <w:tcPr/>
                <w:p>
                  <w:pPr>
                    <w:pStyle w:val="Compact"/>
                    <w:jc w:val="center"/>
                  </w:pPr>
                  <w:r>
                    <w:t xml:space="preserve">INVEMAR 1:25.000</w:t>
                  </w:r>
                </w:p>
              </w:tc>
              <w:tc>
                <w:tcPr/>
                <w:p>
                  <w:pPr>
                    <w:pStyle w:val="Compact"/>
                    <w:jc w:val="center"/>
                  </w:pPr>
                  <w:r>
                    <w:t xml:space="preserve">0,583</w:t>
                  </w:r>
                </w:p>
              </w:tc>
              <w:tc>
                <w:tcPr/>
                <w:p>
                  <w:pPr>
                    <w:pStyle w:val="Compact"/>
                    <w:jc w:val="center"/>
                  </w:pPr>
                  <w:r>
                    <w:t xml:space="preserve">0,811</w:t>
                  </w:r>
                </w:p>
              </w:tc>
              <w:tc>
                <w:tcPr/>
                <w:p>
                  <w:pPr>
                    <w:pStyle w:val="Compact"/>
                    <w:jc w:val="center"/>
                  </w:pPr>
                  <w:r>
                    <w:t xml:space="preserve">0,454</w:t>
                  </w:r>
                </w:p>
              </w:tc>
              <w:tc>
                <w:tcPr/>
                <w:p>
                  <w:pPr>
                    <w:pStyle w:val="Compact"/>
                    <w:jc w:val="center"/>
                  </w:pPr>
                  <w:r>
                    <w:t xml:space="preserve">0,954</w:t>
                  </w:r>
                </w:p>
              </w:tc>
              <w:tc>
                <w:tcPr/>
                <w:p>
                  <w:pPr>
                    <w:pStyle w:val="Compact"/>
                    <w:jc w:val="center"/>
                  </w:pPr>
                  <w:r>
                    <w:t xml:space="preserve">0,803</w:t>
                  </w:r>
                </w:p>
              </w:tc>
            </w:tr>
            <w:tr>
              <w:tc>
                <w:tcPr/>
                <w:p>
                  <w:pPr>
                    <w:pStyle w:val="Compact"/>
                    <w:jc w:val="center"/>
                  </w:pPr>
                  <w:r>
                    <w:t xml:space="preserve">Umbrales NDVI/CMRI</w:t>
                  </w:r>
                </w:p>
              </w:tc>
              <w:tc>
                <w:tcPr/>
                <w:p>
                  <w:pPr>
                    <w:pStyle w:val="Compact"/>
                    <w:jc w:val="center"/>
                  </w:pPr>
                  <w:r>
                    <w:t xml:space="preserve">ESA WorldCover v200</w:t>
                  </w:r>
                </w:p>
              </w:tc>
              <w:tc>
                <w:tcPr/>
                <w:p>
                  <w:pPr>
                    <w:pStyle w:val="Compact"/>
                    <w:jc w:val="center"/>
                  </w:pPr>
                  <w:r>
                    <w:t xml:space="preserve">0,548</w:t>
                  </w:r>
                </w:p>
              </w:tc>
              <w:tc>
                <w:tcPr/>
                <w:p>
                  <w:pPr>
                    <w:pStyle w:val="Compact"/>
                    <w:jc w:val="center"/>
                  </w:pPr>
                  <w:r>
                    <w:t xml:space="preserve">0,768</w:t>
                  </w:r>
                </w:p>
              </w:tc>
              <w:tc>
                <w:tcPr/>
                <w:p>
                  <w:pPr>
                    <w:pStyle w:val="Compact"/>
                    <w:jc w:val="center"/>
                  </w:pPr>
                  <w:r>
                    <w:t xml:space="preserve">0,426</w:t>
                  </w:r>
                </w:p>
              </w:tc>
              <w:tc>
                <w:tcPr/>
                <w:p>
                  <w:pPr>
                    <w:pStyle w:val="Compact"/>
                    <w:jc w:val="center"/>
                  </w:pPr>
                  <w:r>
                    <w:t xml:space="preserve">0,944</w:t>
                  </w:r>
                </w:p>
              </w:tc>
              <w:tc>
                <w:tcPr/>
                <w:p>
                  <w:pPr>
                    <w:pStyle w:val="Compact"/>
                    <w:jc w:val="center"/>
                  </w:pPr>
                  <w:r>
                    <w:t xml:space="preserve">0,788</w:t>
                  </w:r>
                </w:p>
              </w:tc>
            </w:tr>
            <w:tr>
              <w:tc>
                <w:tcPr/>
                <w:p>
                  <w:pPr>
                    <w:pStyle w:val="Compact"/>
                    <w:jc w:val="center"/>
                  </w:pPr>
                  <w:r>
                    <w:rPr>
                      <w:b/>
                      <w:bCs/>
                    </w:rPr>
                    <w:t xml:space="preserve">Random Forest</w:t>
                  </w:r>
                </w:p>
              </w:tc>
              <w:tc>
                <w:tcPr/>
                <w:p>
                  <w:pPr>
                    <w:pStyle w:val="Compact"/>
                    <w:jc w:val="center"/>
                  </w:pPr>
                  <w:r>
                    <w:t xml:space="preserve">INVEMAR 1:25.000</w:t>
                  </w:r>
                </w:p>
              </w:tc>
              <w:tc>
                <w:tcPr/>
                <w:p>
                  <w:pPr>
                    <w:pStyle w:val="Compact"/>
                    <w:jc w:val="center"/>
                  </w:pPr>
                  <w:r>
                    <w:rPr>
                      <w:b/>
                      <w:bCs/>
                    </w:rPr>
                    <w:t xml:space="preserve">0,826</w:t>
                  </w:r>
                </w:p>
              </w:tc>
              <w:tc>
                <w:tcPr/>
                <w:p>
                  <w:pPr>
                    <w:pStyle w:val="Compact"/>
                    <w:jc w:val="center"/>
                  </w:pPr>
                  <w:r>
                    <w:t xml:space="preserve">0,745</w:t>
                  </w:r>
                </w:p>
              </w:tc>
              <w:tc>
                <w:tcPr/>
                <w:p>
                  <w:pPr>
                    <w:pStyle w:val="Compact"/>
                    <w:jc w:val="center"/>
                  </w:pPr>
                  <w:r>
                    <w:rPr>
                      <w:b/>
                      <w:bCs/>
                    </w:rPr>
                    <w:t xml:space="preserve">0,926</w:t>
                  </w:r>
                </w:p>
              </w:tc>
              <w:tc>
                <w:tcPr/>
                <w:p>
                  <w:pPr>
                    <w:pStyle w:val="Compact"/>
                    <w:jc w:val="center"/>
                  </w:pPr>
                  <w:r>
                    <w:t xml:space="preserve">0,884</w:t>
                  </w:r>
                </w:p>
              </w:tc>
              <w:tc>
                <w:tcPr/>
                <w:p>
                  <w:pPr>
                    <w:pStyle w:val="Compact"/>
                    <w:jc w:val="center"/>
                  </w:pPr>
                  <w:r>
                    <w:rPr>
                      <w:b/>
                      <w:bCs/>
                    </w:rPr>
                    <w:t xml:space="preserve">0,895</w:t>
                  </w:r>
                </w:p>
              </w:tc>
            </w:tr>
            <w:tr>
              <w:tc>
                <w:tcPr/>
                <w:p>
                  <w:pPr>
                    <w:pStyle w:val="Compact"/>
                    <w:jc w:val="center"/>
                  </w:pPr>
                  <w:r>
                    <w:rPr>
                      <w:b/>
                      <w:bCs/>
                    </w:rPr>
                    <w:t xml:space="preserve">Random Forest</w:t>
                  </w:r>
                </w:p>
              </w:tc>
              <w:tc>
                <w:tcPr/>
                <w:p>
                  <w:pPr>
                    <w:pStyle w:val="Compact"/>
                    <w:jc w:val="center"/>
                  </w:pPr>
                  <w:r>
                    <w:t xml:space="preserve">ESA WorldCover v200</w:t>
                  </w:r>
                </w:p>
              </w:tc>
              <w:tc>
                <w:tcPr/>
                <w:p>
                  <w:pPr>
                    <w:pStyle w:val="Compact"/>
                    <w:jc w:val="center"/>
                  </w:pPr>
                  <w:r>
                    <w:rPr>
                      <w:b/>
                      <w:bCs/>
                    </w:rPr>
                    <w:t xml:space="preserve">0,889</w:t>
                  </w:r>
                </w:p>
              </w:tc>
              <w:tc>
                <w:tcPr/>
                <w:p>
                  <w:pPr>
                    <w:pStyle w:val="Compact"/>
                    <w:jc w:val="center"/>
                  </w:pPr>
                  <w:r>
                    <w:t xml:space="preserve">0,846</w:t>
                  </w:r>
                </w:p>
              </w:tc>
              <w:tc>
                <w:tcPr/>
                <w:p>
                  <w:pPr>
                    <w:pStyle w:val="Compact"/>
                    <w:jc w:val="center"/>
                  </w:pPr>
                  <w:r>
                    <w:rPr>
                      <w:b/>
                      <w:bCs/>
                    </w:rPr>
                    <w:t xml:space="preserve">0,937</w:t>
                  </w:r>
                </w:p>
              </w:tc>
              <w:tc>
                <w:tcPr/>
                <w:p>
                  <w:pPr>
                    <w:pStyle w:val="Compact"/>
                    <w:jc w:val="center"/>
                  </w:pPr>
                  <w:r>
                    <w:t xml:space="preserve">0,926</w:t>
                  </w:r>
                </w:p>
              </w:tc>
              <w:tc>
                <w:tcPr/>
                <w:p>
                  <w:pPr>
                    <w:pStyle w:val="Compact"/>
                    <w:jc w:val="center"/>
                  </w:pPr>
                  <w:r>
                    <w:rPr>
                      <w:b/>
                      <w:bCs/>
                    </w:rPr>
                    <w:t xml:space="preserve">0,930</w:t>
                  </w:r>
                </w:p>
              </w:tc>
            </w:tr>
          </w:tbl>
          <w:bookmarkEnd w:id="1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0" w:name="fig-rf-importance"/>
          <w:p>
            <w:pPr>
              <w:pStyle w:val="Compact"/>
              <w:jc w:val="center"/>
            </w:pPr>
            <w:r>
              <w:drawing>
                <wp:inline>
                  <wp:extent cx="4533900" cy="2798191"/>
                  <wp:effectExtent b="0" l="0" r="0" t="0"/>
                  <wp:docPr descr="" title="" id="118" name="Picture"/>
                  <a:graphic>
                    <a:graphicData uri="http://schemas.openxmlformats.org/drawingml/2006/picture">
                      <pic:pic>
                        <pic:nvPicPr>
                          <pic:cNvPr descr="../outputs/figures/rf_feature_importance.png" id="119" name="Picture"/>
                          <pic:cNvPicPr>
                            <a:picLocks noChangeArrowheads="1" noChangeAspect="1"/>
                          </pic:cNvPicPr>
                        </pic:nvPicPr>
                        <pic:blipFill>
                          <a:blip r:embed="rId117"/>
                          <a:stretch>
                            <a:fillRect/>
                          </a:stretch>
                        </pic:blipFill>
                        <pic:spPr bwMode="auto">
                          <a:xfrm>
                            <a:off x="0" y="0"/>
                            <a:ext cx="4533900" cy="2798191"/>
                          </a:xfrm>
                          <a:prstGeom prst="rect">
                            <a:avLst/>
                          </a:prstGeom>
                          <a:noFill/>
                          <a:ln w="9525">
                            <a:noFill/>
                            <a:headEnd/>
                            <a:tailEnd/>
                          </a:ln>
                        </pic:spPr>
                      </pic:pic>
                    </a:graphicData>
                  </a:graphic>
                </wp:inline>
              </w:drawing>
            </w:r>
          </w:p>
          <w:p>
            <w:pPr>
              <w:jc w:val="center"/>
            </w:pPr>
            <w:pPr>
              <w:jc w:val="left"/>
              <w:spacing w:before="200"/>
              <w:pStyle w:val="ImageCaption"/>
            </w:pPr>
            <w: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20"/>
        </w:tc>
      </w:tr>
    </w:tbl>
    <w:p>
      <w:pPr>
        <w:pStyle w:val="BodyText"/>
      </w:pPr>
      <w:r>
        <w:t xml:space="preserve">La comparación entre ambos métodos arroja una ganancia consistente del clasificador supervisado: el F1-score asciende de 0,583 a 0,826 contra INVEMAR (+42 %) y de 0,548 a 0,889 contra ESA WorldCover (+62 %), con un patrón análogo en la Overall Accuracy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t xml:space="preserve"> </w:t>
      </w:r>
      <w:hyperlink w:anchor="fig-rf-importance">
        <w:r>
          <w:rPr>
            <w:rStyle w:val="Hyperlink"/>
          </w:rPr>
          <w:t xml:space="preserve">figura 12</w:t>
        </w:r>
      </w:hyperlink>
      <w: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21"/>
    <w:bookmarkStart w:id="127" w:name="serie-temporal-continua-sentinel-1-sar"/>
    <w:p>
      <w:pPr>
        <w:pStyle w:val="Heading2"/>
      </w:pPr>
      <w:r>
        <w:t xml:space="preserve">9.13 Serie temporal continua Sentinel-1 SAR</w:t>
      </w:r>
    </w:p>
    <w:p>
      <w:pPr>
        <w:pStyle w:val="FirstParagraph"/>
      </w:pPr>
      <w:r>
        <w:t xml:space="preserve">Más allá de la detección puntual del evento de inundación de septiembre 2020 reportada en la sección anterior, se construye una</w:t>
      </w:r>
      <w:r>
        <w:t xml:space="preserve"> </w:t>
      </w:r>
      <w:r>
        <w:rPr>
          <w:b/>
          <w:bCs/>
        </w:rPr>
        <w:t xml:space="preserve">serie temporal mensual continua de backscatter Sentinel-1 SAR-VH</w:t>
      </w:r>
      <w:r>
        <w:t xml:space="preserve"> </w:t>
      </w:r>
      <w:r>
        <w:t xml:space="preserve">sobre el AOI acotado para el periodo 2018-2025, mediante el notebook</w:t>
      </w:r>
      <w:r>
        <w:t xml:space="preserve"> </w:t>
      </w:r>
      <w:r>
        <w:rPr>
          <w:rStyle w:val="VerbatimChar"/>
        </w:rPr>
        <w:t xml:space="preserve">12_sentinel1_sar_serie.ipynb</w:t>
      </w:r>
      <w:r>
        <w:t xml:space="preserve">. Se filtra la colección</w:t>
      </w:r>
      <w:r>
        <w:t xml:space="preserve"> </w:t>
      </w:r>
      <w:r>
        <w:rPr>
          <w:rStyle w:val="VerbatimChar"/>
        </w:rPr>
        <w:t xml:space="preserve">COPERNICUS/S1_GRD</w:t>
      </w:r>
      <w:r>
        <w:t xml:space="preserve"> </w:t>
      </w:r>
      <w: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t xml:space="preserve"> </w:t>
      </w:r>
      <w:r>
        <w:rPr>
          <w:rStyle w:val="VerbatimChar"/>
        </w:rPr>
        <w:t xml:space="preserve">outputs/tables/sar_vs_ndvi_correlacion.csv</w:t>
      </w:r>
      <w:r>
        <w:t xml:space="preserve">, y permite caracterizar el desfase temporal entre la señal radárica —sensible a la humedad y estructura del dosel— y la respuesta óptica del vigor vegetativo. La figura</w:t>
      </w:r>
      <w:r>
        <w:t xml:space="preserve"> </w:t>
      </w:r>
      <w:hyperlink w:anchor="fig-sar-serie">
        <w:r>
          <w:rPr>
            <w:rStyle w:val="Hyperlink"/>
          </w:rPr>
          <w:t xml:space="preserve">figura 13</w:t>
        </w:r>
      </w:hyperlink>
      <w:r>
        <w:t xml:space="preserve"> </w:t>
      </w:r>
      <w:r>
        <w:t xml:space="preserve">muestra la serie completa sobre cinco estaciones representativas con las anomalías codificadas por color, de manera que la integración del SAR como serie continua complementa el monitoreo óptico y aporta sensibilidad ante perturbaciones sub-canopy que el NDVI por sí solo no detecta.</w:t>
      </w:r>
    </w:p>
    <w:tbl>
      <w:tblPr>
        <w:tblStyle w:val="Table"/>
        <w:tblW w:type="pct" w:w="5000"/>
        <w:tblLayout w:type="fixed"/>
        <w:tblLook w:firstRow="0" w:lastRow="0" w:firstColumn="0" w:lastColumn="0" w:noHBand="0" w:noVBand="0" w:val="0000"/>
      </w:tblPr>
      <w:tblGrid>
        <w:gridCol w:w="7920"/>
      </w:tblGrid>
      <w:tr>
        <w:tc>
          <w:tcPr/>
          <w:bookmarkStart w:id="125" w:name="fig-sar-serie"/>
          <w:p>
            <w:pPr>
              <w:pStyle w:val="Compact"/>
              <w:jc w:val="center"/>
            </w:pPr>
            <w:r>
              <w:drawing>
                <wp:inline>
                  <wp:extent cx="5067300" cy="4212888"/>
                  <wp:effectExtent b="0" l="0" r="0" t="0"/>
                  <wp:docPr descr="" title="" id="123" name="Picture"/>
                  <a:graphic>
                    <a:graphicData uri="http://schemas.openxmlformats.org/drawingml/2006/picture">
                      <pic:pic>
                        <pic:nvPicPr>
                          <pic:cNvPr descr="../outputs/figures/sar_vh_serie_temporal.png" id="124" name="Picture"/>
                          <pic:cNvPicPr>
                            <a:picLocks noChangeArrowheads="1" noChangeAspect="1"/>
                          </pic:cNvPicPr>
                        </pic:nvPicPr>
                        <pic:blipFill>
                          <a:blip r:embed="rId122"/>
                          <a:stretch>
                            <a:fillRect/>
                          </a:stretch>
                        </pic:blipFill>
                        <pic:spPr bwMode="auto">
                          <a:xfrm>
                            <a:off x="0" y="0"/>
                            <a:ext cx="5067300" cy="4212888"/>
                          </a:xfrm>
                          <a:prstGeom prst="rect">
                            <a:avLst/>
                          </a:prstGeom>
                          <a:noFill/>
                          <a:ln w="9525">
                            <a:noFill/>
                            <a:headEnd/>
                            <a:tailEnd/>
                          </a:ln>
                        </pic:spPr>
                      </pic:pic>
                    </a:graphicData>
                  </a:graphic>
                </wp:inline>
              </w:drawing>
            </w:r>
          </w:p>
          <w:p>
            <w:pPr>
              <w:jc w:val="center"/>
            </w:pPr>
            <w:pPr>
              <w:jc w:val="left"/>
              <w:spacing w:before="200"/>
              <w:pStyle w:val="ImageCaption"/>
            </w:pPr>
            <w: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25"/>
        </w:tc>
      </w:tr>
    </w:tbl>
    <w:p>
      <w:pPr>
        <w:pStyle w:val="BodyText"/>
      </w:pPr>
      <w:r>
        <w:t xml:space="preserve">La inspección visual de la figura</w:t>
      </w:r>
      <w:r>
        <w:t xml:space="preserve"> </w:t>
      </w:r>
      <w:hyperlink w:anchor="fig-sar-serie">
        <w:r>
          <w:rPr>
            <w:rStyle w:val="Hyperlink"/>
          </w:rPr>
          <w:t xml:space="preserve">figura 13</w:t>
        </w:r>
      </w:hyperlink>
      <w:r>
        <w:t xml:space="preserve"> </w:t>
      </w:r>
      <w:r>
        <w:t xml:space="preserve">revela un patrón consistente con la narrativa de recuperación post-La Niña 2020 reportada en el cuerpo del informe: las tres estaciones del Complejo de Pajarales —Caño Palos, CP Aguas Negras y CP Luna— experimentan una transición ascendente sostenida del backscatter VH entre 2020 y 2024, con incrementos del orden de 3 a 5 dB respecto a su línea base de 2018-2019. Este aumento de VH se interpreta como una recuperación estructural del dosel —el manglar denso recupera biomasa leñosa y rugosidad superficial, lo cual incrementa la retrodispersión radárica— complementaria al aumento del NDVI mediano del manglar de 0,60 a 0,80 ya reportado en la figura</w:t>
      </w:r>
      <w:r>
        <w:t xml:space="preserve"> </w:t>
      </w:r>
      <w:hyperlink w:anchor="fig-ndvi-manglar">
        <w:r>
          <w:rPr>
            <w:rStyle w:val="Hyperlink"/>
          </w:rPr>
          <w:t xml:space="preserve">figura 4</w:t>
        </w:r>
      </w:hyperlink>
      <w:r>
        <w:t xml:space="preserve">. El SAR aporta así una evidencia independiente de la regeneración del bosque que la teledetección óptica por sí sola no puede confirmar, dado que el NDVI saturado no discrimina entre dosel ralo y dosel denso. La estación limnológica Punta Cerro, en contraste, mantiene un comportamiento estable en torno a los -21 dB sin tendencia neta, consistente con su naturaleza de cuerpo lagunar permanente.</w:t>
      </w:r>
    </w:p>
    <w:p>
      <w:pPr>
        <w:pStyle w:val="BodyText"/>
      </w:pPr>
      <w:r>
        <w:t xml:space="preserve">El análisis de correlación cruzada de Pearson entre las series mensuales SAR-VH y NDVI z-score, calculado para rezagos de cero a tres meses sobre las ocho estaciones (tabla</w:t>
      </w:r>
      <w:r>
        <w:t xml:space="preserve"> </w:t>
      </w:r>
      <w:hyperlink w:anchor="tbl-sar-ndvi-corr">
        <w:r>
          <w:rPr>
            <w:rStyle w:val="Hyperlink"/>
          </w:rPr>
          <w:t xml:space="preserve">tabla 22</w:t>
        </w:r>
      </w:hyperlink>
      <w:r>
        <w:t xml:space="preserve">), arroja un resultado metodológicamente robusto: las cuatro estaciones del Complejo de Pajarales presentan correlaciones positivas significativas en rezago cero —CP Aguas Negras</w:t>
      </w:r>
      <w:r>
        <w:t xml:space="preserve"> </w:t>
      </w:r>
      <m:oMath>
        <m:r>
          <m:t>ρ</m:t>
        </m:r>
        <m:r>
          <m:rPr>
            <m:sty m:val="p"/>
          </m:rPr>
          <m:t>=</m:t>
        </m:r>
        <m:r>
          <m:rPr>
            <m:sty m:val="p"/>
          </m:rPr>
          <m:t>+</m:t>
        </m:r>
        <m:r>
          <m:t>0</m:t>
        </m:r>
        <m:r>
          <m:rPr>
            <m:sty m:val="p"/>
          </m:rPr>
          <m:t>,</m:t>
        </m:r>
        <m:r>
          <m:t>807</m:t>
        </m:r>
      </m:oMath>
      <w:r>
        <w:t xml:space="preserve">, CP Luna</w:t>
      </w:r>
      <w:r>
        <w:t xml:space="preserve"> </w:t>
      </w:r>
      <m:oMath>
        <m:r>
          <m:t>ρ</m:t>
        </m:r>
        <m:r>
          <m:rPr>
            <m:sty m:val="p"/>
          </m:rPr>
          <m:t>=</m:t>
        </m:r>
        <m:r>
          <m:rPr>
            <m:sty m:val="p"/>
          </m:rPr>
          <m:t>+</m:t>
        </m:r>
        <m:r>
          <m:t>0</m:t>
        </m:r>
        <m:r>
          <m:rPr>
            <m:sty m:val="p"/>
          </m:rPr>
          <m:t>,</m:t>
        </m:r>
        <m:r>
          <m:t>731</m:t>
        </m:r>
      </m:oMath>
      <w:r>
        <w:t xml:space="preserve">, Caño Clarín</w:t>
      </w:r>
      <w:r>
        <w:t xml:space="preserve"> </w:t>
      </w:r>
      <m:oMath>
        <m:r>
          <m:t>ρ</m:t>
        </m:r>
        <m:r>
          <m:rPr>
            <m:sty m:val="p"/>
          </m:rPr>
          <m:t>=</m:t>
        </m:r>
        <m:r>
          <m:rPr>
            <m:sty m:val="p"/>
          </m:rPr>
          <m:t>+</m:t>
        </m:r>
        <m:r>
          <m:t>0</m:t>
        </m:r>
        <m:r>
          <m:rPr>
            <m:sty m:val="p"/>
          </m:rPr>
          <m:t>,</m:t>
        </m:r>
        <m:r>
          <m:t>640</m:t>
        </m:r>
      </m:oMath>
      <w:r>
        <w:t xml:space="preserve"> </w:t>
      </w:r>
      <w:r>
        <w:t xml:space="preserve">y Caño Palos</w:t>
      </w:r>
      <w:r>
        <w:t xml:space="preserve"> </w:t>
      </w:r>
      <m:oMath>
        <m:r>
          <m:t>ρ</m:t>
        </m:r>
        <m:r>
          <m:rPr>
            <m:sty m:val="p"/>
          </m:rPr>
          <m:t>=</m:t>
        </m:r>
        <m:r>
          <m:rPr>
            <m:sty m:val="p"/>
          </m:rPr>
          <m:t>+</m:t>
        </m:r>
        <m:r>
          <m:t>0</m:t>
        </m:r>
        <m:r>
          <m:rPr>
            <m:sty m:val="p"/>
          </m:rPr>
          <m:t>,</m:t>
        </m:r>
        <m:r>
          <m:t>462</m:t>
        </m:r>
      </m:oMath>
      <w:r>
        <w:t xml:space="preserve">, todas con</w:t>
      </w:r>
      <w:r>
        <w:t xml:space="preserve"> </w:t>
      </w:r>
      <m:oMath>
        <m:r>
          <m:t>p</m:t>
        </m:r>
        <m:r>
          <m:rPr>
            <m:sty m:val="p"/>
          </m:rPr>
          <m:t>&lt;</m:t>
        </m:r>
        <m:r>
          <m:t>0</m:t>
        </m:r>
        <m:r>
          <m:rPr>
            <m:sty m:val="p"/>
          </m:rPr>
          <m:t>,</m:t>
        </m:r>
        <m:r>
          <m:t>001</m:t>
        </m:r>
      </m:oMath>
      <w: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sepChr m:val=""/>
            <m:endChr m:val="|"/>
            <m:grow/>
          </m:dPr>
          <m:e>
            <m:r>
              <m:t>ρ</m:t>
            </m:r>
          </m:e>
        </m:d>
        <m:r>
          <m:rPr>
            <m:sty m:val="p"/>
          </m:rPr>
          <m:t>&lt;</m:t>
        </m:r>
        <m:r>
          <m:t>0</m:t>
        </m:r>
        <m:r>
          <m:rPr>
            <m:sty m:val="p"/>
          </m:rPr>
          <m:t>,</m:t>
        </m:r>
        <m:r>
          <m:t>20</m:t>
        </m:r>
      </m:oMath>
      <w:r>
        <w:t xml:space="preserve">,</w:t>
      </w:r>
      <w:r>
        <w:t xml:space="preserve"> </w:t>
      </w:r>
      <m:oMath>
        <m:r>
          <m:t>p</m:t>
        </m:r>
        <m:r>
          <m:rPr>
            <m:sty m:val="p"/>
          </m:rPr>
          <m:t>&gt;</m:t>
        </m:r>
        <m:r>
          <m:t>0</m:t>
        </m:r>
        <m:r>
          <m:rPr>
            <m:sty m:val="p"/>
          </m:rPr>
          <m:t>,</m:t>
        </m:r>
        <m:r>
          <m:t>17</m:t>
        </m:r>
      </m:oMath>
      <w: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tbl>
      <w:tblPr>
        <w:tblStyle w:val="Table"/>
        <w:tblW w:type="pct" w:w="5000"/>
        <w:tblLayout w:type="fixed"/>
        <w:tblLook w:firstRow="0" w:lastRow="0" w:firstColumn="0" w:lastColumn="0" w:noHBand="0" w:noVBand="0" w:val="0000"/>
      </w:tblPr>
      <w:tblGrid>
        <w:gridCol w:w="7920"/>
      </w:tblGrid>
      <w:tr>
        <w:tc>
          <w:tcPr/>
          <w:bookmarkStart w:id="126" w:name="tbl-sar-ndvi-corr"/>
          <w:p>
            <w:pPr>
              <w:jc w:val="center"/>
            </w:pPr>
            <w:pPr>
              <w:jc w:val="left"/>
              <w:spacing w:before="200"/>
              <w:pStyle w:val="ImageCaption"/>
            </w:pPr>
            <w:r>
              <w:t xml:space="preserve">Tabla 22: Correlación de Pearson entre la serie mensual Sentinel-1 SAR-VH y el NDVI z-score derivado de Sentinel-2 para rezagos temporales de cero a tres meses, calculada sobre las ocho estaciones de muestreo entre 2018 y 2025. Los valores en negrita corresponden a las correlaciones significativas (</w:t>
            </w:r>
            <m:oMath>
              <m:r>
                <m:t>p</m:t>
              </m:r>
              <m:r>
                <m:rPr>
                  <m:sty m:val="p"/>
                </m:rPr>
                <m:t>&lt;</m:t>
              </m:r>
              <m:r>
                <m:t>0</m:t>
              </m:r>
              <m:r>
                <m:rPr>
                  <m:sty m:val="p"/>
                </m:rPr>
                <m:t>,</m:t>
              </m:r>
              <m:r>
                <m:t>001</m:t>
              </m:r>
            </m:oMath>
            <w:r>
              <w:t xml:space="preserve">) sobre las cuatro estaciones de manglar denso del Complejo de Pajarales.</w:t>
            </w:r>
          </w:p>
          <w:tbl>
            <w:tblPr>
              <w:tblStyle w:val="Table"/>
              <w:tblW w:type="pct" w:w="4550"/>
              <w:tblLayout w:type="fixed"/>
              <w:tblLook w:firstRow="1" w:lastRow="0" w:firstColumn="0" w:lastColumn="0" w:noHBand="0" w:noVBand="0" w:val="0020"/>
            </w:tblPr>
            <w:tblGrid>
              <w:gridCol w:w="1425"/>
              <w:gridCol w:w="1029"/>
              <w:gridCol w:w="1029"/>
              <w:gridCol w:w="1029"/>
              <w:gridCol w:w="1029"/>
              <w:gridCol w:w="1029"/>
              <w:gridCol w:w="633"/>
            </w:tblGrid>
            <w:tr>
              <w:trPr>
                <w:tblHeader w:val="on"/>
              </w:trPr>
              <w:tc>
                <w:tcPr/>
                <w:p>
                  <w:pPr>
                    <w:pStyle w:val="Compact"/>
                    <w:jc w:val="center"/>
                  </w:pPr>
                  <w:r>
                    <w:t xml:space="preserve">Estación</w:t>
                  </w:r>
                </w:p>
              </w:tc>
              <w:tc>
                <w:tcPr/>
                <w:p>
                  <w:pPr>
                    <w:pStyle w:val="Compact"/>
                    <w:jc w:val="center"/>
                  </w:pPr>
                  <w:r>
                    <w:t xml:space="preserve">Naturaleza</w:t>
                  </w:r>
                </w:p>
              </w:tc>
              <w:tc>
                <w:tcPr/>
                <w:p>
                  <w:pPr>
                    <w:pStyle w:val="Compact"/>
                    <w:jc w:val="center"/>
                  </w:pPr>
                  <m:oMath>
                    <m:r>
                      <m:t>ρ</m:t>
                    </m:r>
                  </m:oMath>
                  <w:r>
                    <w:t xml:space="preserve"> </w:t>
                  </w:r>
                  <w:r>
                    <w:t xml:space="preserve">lag 0</w:t>
                  </w:r>
                </w:p>
              </w:tc>
              <w:tc>
                <w:tcPr/>
                <w:p>
                  <w:pPr>
                    <w:pStyle w:val="Compact"/>
                    <w:jc w:val="center"/>
                  </w:pPr>
                  <m:oMath>
                    <m:r>
                      <m:t>ρ</m:t>
                    </m:r>
                  </m:oMath>
                  <w:r>
                    <w:t xml:space="preserve"> </w:t>
                  </w:r>
                  <w:r>
                    <w:t xml:space="preserve">lag 1</w:t>
                  </w:r>
                </w:p>
              </w:tc>
              <w:tc>
                <w:tcPr/>
                <w:p>
                  <w:pPr>
                    <w:pStyle w:val="Compact"/>
                    <w:jc w:val="center"/>
                  </w:pPr>
                  <m:oMath>
                    <m:r>
                      <m:t>ρ</m:t>
                    </m:r>
                  </m:oMath>
                  <w:r>
                    <w:t xml:space="preserve"> </w:t>
                  </w:r>
                  <w:r>
                    <w:t xml:space="preserve">lag 2</w:t>
                  </w:r>
                </w:p>
              </w:tc>
              <w:tc>
                <w:tcPr/>
                <w:p>
                  <w:pPr>
                    <w:pStyle w:val="Compact"/>
                    <w:jc w:val="center"/>
                  </w:pPr>
                  <m:oMath>
                    <m:r>
                      <m:t>ρ</m:t>
                    </m:r>
                  </m:oMath>
                  <w:r>
                    <w:t xml:space="preserve"> </w:t>
                  </w:r>
                  <w:r>
                    <w:t xml:space="preserve">lag 3</w:t>
                  </w:r>
                </w:p>
              </w:tc>
              <w:tc>
                <w:tcPr/>
                <w:p>
                  <w:pPr>
                    <w:pStyle w:val="Compact"/>
                    <w:jc w:val="center"/>
                  </w:pPr>
                  <w:r>
                    <w:t xml:space="preserve">n</w:t>
                  </w:r>
                </w:p>
              </w:tc>
            </w:tr>
            <w:tr>
              <w:tc>
                <w:tcPr/>
                <w:p>
                  <w:pPr>
                    <w:pStyle w:val="Compact"/>
                    <w:jc w:val="center"/>
                  </w:pPr>
                  <w:r>
                    <w:t xml:space="preserve">CP Aguas Negras</w:t>
                  </w:r>
                </w:p>
              </w:tc>
              <w:tc>
                <w:tcPr/>
                <w:p>
                  <w:pPr>
                    <w:pStyle w:val="Compact"/>
                    <w:jc w:val="center"/>
                  </w:pPr>
                  <w:r>
                    <w:t xml:space="preserve">manglar</w:t>
                  </w:r>
                </w:p>
              </w:tc>
              <w:tc>
                <w:tcPr/>
                <w:p>
                  <w:pPr>
                    <w:pStyle w:val="Compact"/>
                    <w:jc w:val="center"/>
                  </w:pPr>
                  <w:r>
                    <w:rPr>
                      <w:b/>
                      <w:bCs/>
                    </w:rPr>
                    <w:t xml:space="preserve">+0,807</w:t>
                  </w:r>
                </w:p>
              </w:tc>
              <w:tc>
                <w:tcPr/>
                <w:p>
                  <w:pPr>
                    <w:pStyle w:val="Compact"/>
                    <w:jc w:val="center"/>
                  </w:pPr>
                  <w:r>
                    <w:t xml:space="preserve">+0,788</w:t>
                  </w:r>
                </w:p>
              </w:tc>
              <w:tc>
                <w:tcPr/>
                <w:p>
                  <w:pPr>
                    <w:pStyle w:val="Compact"/>
                    <w:jc w:val="center"/>
                  </w:pPr>
                  <w:r>
                    <w:t xml:space="preserve">+0,773</w:t>
                  </w:r>
                </w:p>
              </w:tc>
              <w:tc>
                <w:tcPr/>
                <w:p>
                  <w:pPr>
                    <w:pStyle w:val="Compact"/>
                    <w:jc w:val="center"/>
                  </w:pPr>
                  <w:r>
                    <w:t xml:space="preserve">+0,758</w:t>
                  </w:r>
                </w:p>
              </w:tc>
              <w:tc>
                <w:tcPr/>
                <w:p>
                  <w:pPr>
                    <w:pStyle w:val="Compact"/>
                    <w:jc w:val="center"/>
                  </w:pPr>
                  <w:r>
                    <w:t xml:space="preserve">85</w:t>
                  </w:r>
                </w:p>
              </w:tc>
            </w:tr>
            <w:tr>
              <w:tc>
                <w:tcPr/>
                <w:p>
                  <w:pPr>
                    <w:pStyle w:val="Compact"/>
                    <w:jc w:val="center"/>
                  </w:pPr>
                  <w:r>
                    <w:t xml:space="preserve">CP Luna</w:t>
                  </w:r>
                </w:p>
              </w:tc>
              <w:tc>
                <w:tcPr/>
                <w:p>
                  <w:pPr>
                    <w:pStyle w:val="Compact"/>
                    <w:jc w:val="center"/>
                  </w:pPr>
                  <w:r>
                    <w:t xml:space="preserve">manglar</w:t>
                  </w:r>
                </w:p>
              </w:tc>
              <w:tc>
                <w:tcPr/>
                <w:p>
                  <w:pPr>
                    <w:pStyle w:val="Compact"/>
                    <w:jc w:val="center"/>
                  </w:pPr>
                  <w:r>
                    <w:rPr>
                      <w:b/>
                      <w:bCs/>
                    </w:rPr>
                    <w:t xml:space="preserve">+0,731</w:t>
                  </w:r>
                </w:p>
              </w:tc>
              <w:tc>
                <w:tcPr/>
                <w:p>
                  <w:pPr>
                    <w:pStyle w:val="Compact"/>
                    <w:jc w:val="center"/>
                  </w:pPr>
                  <w:r>
                    <w:t xml:space="preserve">+0,710</w:t>
                  </w:r>
                </w:p>
              </w:tc>
              <w:tc>
                <w:tcPr/>
                <w:p>
                  <w:pPr>
                    <w:pStyle w:val="Compact"/>
                    <w:jc w:val="center"/>
                  </w:pPr>
                  <w:r>
                    <w:t xml:space="preserve">+0,717</w:t>
                  </w:r>
                </w:p>
              </w:tc>
              <w:tc>
                <w:tcPr/>
                <w:p>
                  <w:pPr>
                    <w:pStyle w:val="Compact"/>
                    <w:jc w:val="center"/>
                  </w:pPr>
                  <w:r>
                    <w:t xml:space="preserve">+0,722</w:t>
                  </w:r>
                </w:p>
              </w:tc>
              <w:tc>
                <w:tcPr/>
                <w:p>
                  <w:pPr>
                    <w:pStyle w:val="Compact"/>
                    <w:jc w:val="center"/>
                  </w:pPr>
                  <w:r>
                    <w:t xml:space="preserve">83</w:t>
                  </w:r>
                </w:p>
              </w:tc>
            </w:tr>
            <w:tr>
              <w:tc>
                <w:tcPr/>
                <w:p>
                  <w:pPr>
                    <w:pStyle w:val="Compact"/>
                    <w:jc w:val="center"/>
                  </w:pPr>
                  <w:r>
                    <w:t xml:space="preserve">Caño Clarín</w:t>
                  </w:r>
                </w:p>
              </w:tc>
              <w:tc>
                <w:tcPr/>
                <w:p>
                  <w:pPr>
                    <w:pStyle w:val="Compact"/>
                    <w:jc w:val="center"/>
                  </w:pPr>
                  <w:r>
                    <w:t xml:space="preserve">manglar</w:t>
                  </w:r>
                </w:p>
              </w:tc>
              <w:tc>
                <w:tcPr/>
                <w:p>
                  <w:pPr>
                    <w:pStyle w:val="Compact"/>
                    <w:jc w:val="center"/>
                  </w:pPr>
                  <w:r>
                    <w:rPr>
                      <w:b/>
                      <w:bCs/>
                    </w:rPr>
                    <w:t xml:space="preserve">+0,640</w:t>
                  </w:r>
                </w:p>
              </w:tc>
              <w:tc>
                <w:tcPr/>
                <w:p>
                  <w:pPr>
                    <w:pStyle w:val="Compact"/>
                    <w:jc w:val="center"/>
                  </w:pPr>
                  <w:r>
                    <w:t xml:space="preserve">+0,380</w:t>
                  </w:r>
                </w:p>
              </w:tc>
              <w:tc>
                <w:tcPr/>
                <w:p>
                  <w:pPr>
                    <w:pStyle w:val="Compact"/>
                    <w:jc w:val="center"/>
                  </w:pPr>
                  <w:r>
                    <w:t xml:space="preserve">-0,025</w:t>
                  </w:r>
                </w:p>
              </w:tc>
              <w:tc>
                <w:tcPr/>
                <w:p>
                  <w:pPr>
                    <w:pStyle w:val="Compact"/>
                    <w:jc w:val="center"/>
                  </w:pPr>
                  <w:r>
                    <w:t xml:space="preserve">-0,127</w:t>
                  </w:r>
                </w:p>
              </w:tc>
              <w:tc>
                <w:tcPr/>
                <w:p>
                  <w:pPr>
                    <w:pStyle w:val="Compact"/>
                    <w:jc w:val="center"/>
                  </w:pPr>
                  <w:r>
                    <w:t xml:space="preserve">63</w:t>
                  </w:r>
                </w:p>
              </w:tc>
            </w:tr>
            <w:tr>
              <w:tc>
                <w:tcPr/>
                <w:p>
                  <w:pPr>
                    <w:pStyle w:val="Compact"/>
                    <w:jc w:val="center"/>
                  </w:pPr>
                  <w:r>
                    <w:t xml:space="preserve">Caño Palos</w:t>
                  </w:r>
                </w:p>
              </w:tc>
              <w:tc>
                <w:tcPr/>
                <w:p>
                  <w:pPr>
                    <w:pStyle w:val="Compact"/>
                    <w:jc w:val="center"/>
                  </w:pPr>
                  <w:r>
                    <w:t xml:space="preserve">manglar</w:t>
                  </w:r>
                </w:p>
              </w:tc>
              <w:tc>
                <w:tcPr/>
                <w:p>
                  <w:pPr>
                    <w:pStyle w:val="Compact"/>
                    <w:jc w:val="center"/>
                  </w:pPr>
                  <w:r>
                    <w:rPr>
                      <w:b/>
                      <w:bCs/>
                    </w:rPr>
                    <w:t xml:space="preserve">+0,462</w:t>
                  </w:r>
                </w:p>
              </w:tc>
              <w:tc>
                <w:tcPr/>
                <w:p>
                  <w:pPr>
                    <w:pStyle w:val="Compact"/>
                    <w:jc w:val="center"/>
                  </w:pPr>
                  <w:r>
                    <w:t xml:space="preserve">+0,406</w:t>
                  </w:r>
                </w:p>
              </w:tc>
              <w:tc>
                <w:tcPr/>
                <w:p>
                  <w:pPr>
                    <w:pStyle w:val="Compact"/>
                    <w:jc w:val="center"/>
                  </w:pPr>
                  <w:r>
                    <w:t xml:space="preserve">+0,379</w:t>
                  </w:r>
                </w:p>
              </w:tc>
              <w:tc>
                <w:tcPr/>
                <w:p>
                  <w:pPr>
                    <w:pStyle w:val="Compact"/>
                    <w:jc w:val="center"/>
                  </w:pPr>
                  <w:r>
                    <w:t xml:space="preserve">+0,434</w:t>
                  </w:r>
                </w:p>
              </w:tc>
              <w:tc>
                <w:tcPr/>
                <w:p>
                  <w:pPr>
                    <w:pStyle w:val="Compact"/>
                    <w:jc w:val="center"/>
                  </w:pPr>
                  <w:r>
                    <w:t xml:space="preserve">64</w:t>
                  </w:r>
                </w:p>
              </w:tc>
            </w:tr>
            <w:tr>
              <w:tc>
                <w:tcPr/>
                <w:p>
                  <w:pPr>
                    <w:pStyle w:val="Compact"/>
                    <w:jc w:val="center"/>
                  </w:pPr>
                  <w:r>
                    <w:t xml:space="preserve">Isla Boquerón</w:t>
                  </w:r>
                </w:p>
              </w:tc>
              <w:tc>
                <w:tcPr/>
                <w:p>
                  <w:pPr>
                    <w:pStyle w:val="Compact"/>
                    <w:jc w:val="center"/>
                  </w:pPr>
                  <w:r>
                    <w:t xml:space="preserve">limnológica</w:t>
                  </w:r>
                </w:p>
              </w:tc>
              <w:tc>
                <w:tcPr/>
                <w:p>
                  <w:pPr>
                    <w:pStyle w:val="Compact"/>
                    <w:jc w:val="center"/>
                  </w:pPr>
                  <w:r>
                    <w:t xml:space="preserve">+0,166</w:t>
                  </w:r>
                </w:p>
              </w:tc>
              <w:tc>
                <w:tcPr/>
                <w:p>
                  <w:pPr>
                    <w:pStyle w:val="Compact"/>
                    <w:jc w:val="center"/>
                  </w:pPr>
                  <w:r>
                    <w:t xml:space="preserve">+0,192</w:t>
                  </w:r>
                </w:p>
              </w:tc>
              <w:tc>
                <w:tcPr/>
                <w:p>
                  <w:pPr>
                    <w:pStyle w:val="Compact"/>
                    <w:jc w:val="center"/>
                  </w:pPr>
                  <w:r>
                    <w:t xml:space="preserve">+0,205</w:t>
                  </w:r>
                </w:p>
              </w:tc>
              <w:tc>
                <w:tcPr/>
                <w:p>
                  <w:pPr>
                    <w:pStyle w:val="Compact"/>
                    <w:jc w:val="center"/>
                  </w:pPr>
                  <w:r>
                    <w:t xml:space="preserve">+0,226</w:t>
                  </w:r>
                </w:p>
              </w:tc>
              <w:tc>
                <w:tcPr/>
                <w:p>
                  <w:pPr>
                    <w:pStyle w:val="Compact"/>
                    <w:jc w:val="center"/>
                  </w:pPr>
                  <w:r>
                    <w:t xml:space="preserve">70</w:t>
                  </w:r>
                </w:p>
              </w:tc>
            </w:tr>
            <w:tr>
              <w:tc>
                <w:tcPr/>
                <w:p>
                  <w:pPr>
                    <w:pStyle w:val="Compact"/>
                    <w:jc w:val="center"/>
                  </w:pPr>
                  <w:r>
                    <w:t xml:space="preserve">Punta Cerro</w:t>
                  </w:r>
                </w:p>
              </w:tc>
              <w:tc>
                <w:tcPr/>
                <w:p>
                  <w:pPr>
                    <w:pStyle w:val="Compact"/>
                    <w:jc w:val="center"/>
                  </w:pPr>
                  <w:r>
                    <w:t xml:space="preserve">limnológica</w:t>
                  </w:r>
                </w:p>
              </w:tc>
              <w:tc>
                <w:tcPr/>
                <w:p>
                  <w:pPr>
                    <w:pStyle w:val="Compact"/>
                    <w:jc w:val="center"/>
                  </w:pPr>
                  <w:r>
                    <w:t xml:space="preserve">+0,008</w:t>
                  </w:r>
                </w:p>
              </w:tc>
              <w:tc>
                <w:tcPr/>
                <w:p>
                  <w:pPr>
                    <w:pStyle w:val="Compact"/>
                    <w:jc w:val="center"/>
                  </w:pPr>
                  <w:r>
                    <w:t xml:space="preserve">+0,086</w:t>
                  </w:r>
                </w:p>
              </w:tc>
              <w:tc>
                <w:tcPr/>
                <w:p>
                  <w:pPr>
                    <w:pStyle w:val="Compact"/>
                    <w:jc w:val="center"/>
                  </w:pPr>
                  <w:r>
                    <w:t xml:space="preserve">+0,043</w:t>
                  </w:r>
                </w:p>
              </w:tc>
              <w:tc>
                <w:tcPr/>
                <w:p>
                  <w:pPr>
                    <w:pStyle w:val="Compact"/>
                    <w:jc w:val="center"/>
                  </w:pPr>
                  <w:r>
                    <w:t xml:space="preserve">+0,053</w:t>
                  </w:r>
                </w:p>
              </w:tc>
              <w:tc>
                <w:tcPr/>
                <w:p>
                  <w:pPr>
                    <w:pStyle w:val="Compact"/>
                    <w:jc w:val="center"/>
                  </w:pPr>
                  <w:r>
                    <w:t xml:space="preserve">70</w:t>
                  </w:r>
                </w:p>
              </w:tc>
            </w:tr>
            <w:tr>
              <w:tc>
                <w:tcPr/>
                <w:p>
                  <w:pPr>
                    <w:pStyle w:val="Compact"/>
                    <w:jc w:val="center"/>
                  </w:pPr>
                  <w:r>
                    <w:t xml:space="preserve">Punta Chino</w:t>
                  </w:r>
                </w:p>
              </w:tc>
              <w:tc>
                <w:tcPr/>
                <w:p>
                  <w:pPr>
                    <w:pStyle w:val="Compact"/>
                    <w:jc w:val="center"/>
                  </w:pPr>
                  <w:r>
                    <w:t xml:space="preserve">limnológica</w:t>
                  </w:r>
                </w:p>
              </w:tc>
              <w:tc>
                <w:tcPr/>
                <w:p>
                  <w:pPr>
                    <w:pStyle w:val="Compact"/>
                    <w:jc w:val="center"/>
                  </w:pPr>
                  <w:r>
                    <w:t xml:space="preserve">+0,134</w:t>
                  </w:r>
                </w:p>
              </w:tc>
              <w:tc>
                <w:tcPr/>
                <w:p>
                  <w:pPr>
                    <w:pStyle w:val="Compact"/>
                    <w:jc w:val="center"/>
                  </w:pPr>
                  <w:r>
                    <w:t xml:space="preserve">+0,168</w:t>
                  </w:r>
                </w:p>
              </w:tc>
              <w:tc>
                <w:tcPr/>
                <w:p>
                  <w:pPr>
                    <w:pStyle w:val="Compact"/>
                    <w:jc w:val="center"/>
                  </w:pPr>
                  <w:r>
                    <w:t xml:space="preserve">+0,178</w:t>
                  </w:r>
                </w:p>
              </w:tc>
              <w:tc>
                <w:tcPr/>
                <w:p>
                  <w:pPr>
                    <w:pStyle w:val="Compact"/>
                    <w:jc w:val="center"/>
                  </w:pPr>
                  <w:r>
                    <w:t xml:space="preserve">+0,203</w:t>
                  </w:r>
                </w:p>
              </w:tc>
              <w:tc>
                <w:tcPr/>
                <w:p>
                  <w:pPr>
                    <w:pStyle w:val="Compact"/>
                    <w:jc w:val="center"/>
                  </w:pPr>
                  <w:r>
                    <w:t xml:space="preserve">70</w:t>
                  </w:r>
                </w:p>
              </w:tc>
            </w:tr>
            <w:tr>
              <w:tc>
                <w:tcPr/>
                <w:p>
                  <w:pPr>
                    <w:pStyle w:val="Compact"/>
                    <w:jc w:val="center"/>
                  </w:pPr>
                  <w:r>
                    <w:t xml:space="preserve">Río Sevilla</w:t>
                  </w:r>
                </w:p>
              </w:tc>
              <w:tc>
                <w:tcPr/>
                <w:p>
                  <w:pPr>
                    <w:pStyle w:val="Compact"/>
                    <w:jc w:val="center"/>
                  </w:pPr>
                  <w:r>
                    <w:t xml:space="preserve">borde</w:t>
                  </w:r>
                </w:p>
              </w:tc>
              <w:tc>
                <w:tcPr/>
                <w:p>
                  <w:pPr>
                    <w:pStyle w:val="Compact"/>
                    <w:jc w:val="center"/>
                  </w:pPr>
                  <w:r>
                    <w:t xml:space="preserve">-0,159</w:t>
                  </w:r>
                </w:p>
              </w:tc>
              <w:tc>
                <w:tcPr/>
                <w:p>
                  <w:pPr>
                    <w:pStyle w:val="Compact"/>
                    <w:jc w:val="center"/>
                  </w:pPr>
                  <w:r>
                    <w:t xml:space="preserve">-0,102</w:t>
                  </w:r>
                </w:p>
              </w:tc>
              <w:tc>
                <w:tcPr/>
                <w:p>
                  <w:pPr>
                    <w:pStyle w:val="Compact"/>
                    <w:jc w:val="center"/>
                  </w:pPr>
                  <w:r>
                    <w:t xml:space="preserve">-0,077</w:t>
                  </w:r>
                </w:p>
              </w:tc>
              <w:tc>
                <w:tcPr/>
                <w:p>
                  <w:pPr>
                    <w:pStyle w:val="Compact"/>
                    <w:jc w:val="center"/>
                  </w:pPr>
                  <w:r>
                    <w:t xml:space="preserve">-0,058</w:t>
                  </w:r>
                </w:p>
              </w:tc>
              <w:tc>
                <w:tcPr/>
                <w:p>
                  <w:pPr>
                    <w:pStyle w:val="Compact"/>
                    <w:jc w:val="center"/>
                  </w:pPr>
                  <w:r>
                    <w:t xml:space="preserve">71</w:t>
                  </w:r>
                </w:p>
              </w:tc>
            </w:tr>
          </w:tbl>
          <w:bookmarkEnd w:id="126"/>
          <w:p/>
        </w:tc>
      </w:tr>
    </w:tbl>
    <w:bookmarkEnd w:id="127"/>
    <w:bookmarkStart w:id="133" w:name="X039b46e5206e04951beddf766be1490befda2d8"/>
    <w:p>
      <w:pPr>
        <w:pStyle w:val="Heading2"/>
      </w:pPr>
      <w:r>
        <w:t xml:space="preserve">9.14 Hacia el Nivel 2 de Digital Twin: módulo de alertas tempranas</w:t>
      </w:r>
    </w:p>
    <w:p>
      <w:pPr>
        <w:pStyle w:val="FirstParagraph"/>
      </w:pPr>
      <w:r>
        <w:t xml:space="preserve">El proyecto incorpora un</w:t>
      </w:r>
      <w:r>
        <w:t xml:space="preserve"> </w:t>
      </w:r>
      <w:r>
        <w:rPr>
          <w:b/>
          <w:bCs/>
        </w:rPr>
        <w:t xml:space="preserve">módulo de detección de alertas tempranas</w:t>
      </w:r>
      <w:r>
        <w:t xml:space="preserve"> </w:t>
      </w:r>
      <w:r>
        <w:t xml:space="preserve">que articula las series temporales NDVI y SAR-VH con los quiebres bfast en una lógica de semáforo aplicable de manera operativa a cada una de las ocho estaciones de monitoreo. El script</w:t>
      </w:r>
      <w:r>
        <w:t xml:space="preserve"> </w:t>
      </w:r>
      <w:r>
        <w:rPr>
          <w:rStyle w:val="VerbatimChar"/>
        </w:rPr>
        <w:t xml:space="preserve">src/python/alertas_manglar.py</w:t>
      </w:r>
      <w:r>
        <w:t xml:space="preserve"> </w:t>
      </w:r>
      <w:r>
        <w:t xml:space="preserve">clasifica el estado actual de cada estación en tres categorías —</w:t>
      </w:r>
      <w:r>
        <w:rPr>
          <w:b/>
          <w:bCs/>
        </w:rPr>
        <w:t xml:space="preserve">estable</w:t>
      </w:r>
      <w:r>
        <w:t xml:space="preserve"> </w:t>
      </w:r>
      <w:r>
        <w:t xml:space="preserve">(🟢),</w:t>
      </w:r>
      <w:r>
        <w:t xml:space="preserve"> </w:t>
      </w:r>
      <w:r>
        <w:rPr>
          <w:b/>
          <w:bCs/>
        </w:rPr>
        <w:t xml:space="preserve">alerta</w:t>
      </w:r>
      <w:r>
        <w:t xml:space="preserve"> </w:t>
      </w:r>
      <w:r>
        <w:t xml:space="preserve">(🟡) o</w:t>
      </w:r>
      <w:r>
        <w:t xml:space="preserve"> </w:t>
      </w:r>
      <w:r>
        <w:rPr>
          <w:b/>
          <w:bCs/>
        </w:rPr>
        <w:t xml:space="preserve">crítica</w:t>
      </w:r>
      <w:r>
        <w:t xml:space="preserve"> </w:t>
      </w:r>
      <w:r>
        <w:t xml:space="preserve">(🔴)— según la severidad de las anomalías observadas en los últimos doce meses: el estado crítico se activa cuando la anomalía NDVI del último mes registra z &lt; -2 o cuando se acumulan dos o más anomalías de esta magnitud en el periodo reciente; el estado de alerta se dispara con anomalías moderadas (z entre -1 y -2) en los últimos tres meses o con una frecuencia de dos anomalías z &lt; -1 en el año; el estado estable corresponde a series sin desviaciones significativas. El producto resultante se materializa en la tabla</w:t>
      </w:r>
      <w:r>
        <w:t xml:space="preserve"> </w:t>
      </w:r>
      <w:r>
        <w:rPr>
          <w:rStyle w:val="VerbatimChar"/>
        </w:rPr>
        <w:t xml:space="preserve">outputs/tables/alertas_estaciones.csv</w:t>
      </w:r>
      <w:r>
        <w:t xml:space="preserve"> </w:t>
      </w:r>
      <w:r>
        <w:t xml:space="preserve">y en el mapa semáforo de la figura</w:t>
      </w:r>
      <w:r>
        <w:t xml:space="preserve"> </w:t>
      </w:r>
      <w:hyperlink w:anchor="fig-alertas">
        <w:r>
          <w:rPr>
            <w:rStyle w:val="Hyperlink"/>
          </w:rPr>
          <w:t xml:space="preserve">figura 14</w:t>
        </w:r>
      </w:hyperlink>
      <w:r>
        <w:t xml:space="preserve">, de manera que el monitor cartográfico estático del informe se transforma en un componente operativo de detección dinámica, característico del nivel 2 del paradigma Digital Twin. Este módulo es ejecutable de forma periódica —por ejemplo, mensualmente al ingresar nuevos composites Sentinel-2 o Sentinel-1— y constituye el prototipo funcional sobre el cual la tesis de Maestría en curso desarrollará la transición al nivel 3 mediante la incorporación de modelos predictivos de tendencia y simulación de escenaríos climáticos.</w:t>
      </w:r>
    </w:p>
    <w:tbl>
      <w:tblPr>
        <w:tblStyle w:val="Table"/>
        <w:tblW w:type="pct" w:w="5000"/>
        <w:tblLayout w:type="fixed"/>
        <w:tblLook w:firstRow="0" w:lastRow="0" w:firstColumn="0" w:lastColumn="0" w:noHBand="0" w:noVBand="0" w:val="0000"/>
      </w:tblPr>
      <w:tblGrid>
        <w:gridCol w:w="7920"/>
      </w:tblGrid>
      <w:tr>
        <w:tc>
          <w:tcPr/>
          <w:bookmarkStart w:id="131" w:name="fig-alertas"/>
          <w:p>
            <w:pPr>
              <w:pStyle w:val="Compact"/>
              <w:jc w:val="center"/>
            </w:pPr>
            <w:r>
              <w:drawing>
                <wp:inline>
                  <wp:extent cx="4533900" cy="3223200"/>
                  <wp:effectExtent b="0" l="0" r="0" t="0"/>
                  <wp:docPr descr="" title="" id="129" name="Picture"/>
                  <a:graphic>
                    <a:graphicData uri="http://schemas.openxmlformats.org/drawingml/2006/picture">
                      <pic:pic>
                        <pic:nvPicPr>
                          <pic:cNvPr descr="../outputs/figures/alertas_semaforo.png" id="130" name="Picture"/>
                          <pic:cNvPicPr>
                            <a:picLocks noChangeArrowheads="1" noChangeAspect="1"/>
                          </pic:cNvPicPr>
                        </pic:nvPicPr>
                        <pic:blipFill>
                          <a:blip r:embed="rId128"/>
                          <a:stretch>
                            <a:fillRect/>
                          </a:stretch>
                        </pic:blipFill>
                        <pic:spPr bwMode="auto">
                          <a:xfrm>
                            <a:off x="0" y="0"/>
                            <a:ext cx="4533900" cy="3223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31"/>
        </w:tc>
      </w:tr>
    </w:tbl>
    <w:p>
      <w:pPr>
        <w:pStyle w:val="BodyText"/>
      </w:pPr>
      <w:r>
        <w:t xml:space="preserve">La ejecución del módulo sobre el corte 2024-12 a 2025-12 arroja un panorama operativo coherente con la narrativa de recuperación post-La Niña 2020 sostenida por el cuerpo del informe: ninguna de las ocho estaciones se encuentra en estado</w:t>
      </w:r>
      <w:r>
        <w:t xml:space="preserve"> </w:t>
      </w:r>
      <w:r>
        <w:rPr>
          <w:b/>
          <w:bCs/>
        </w:rPr>
        <w:t xml:space="preserve">crítico</w:t>
      </w:r>
      <w:r>
        <w:t xml:space="preserve">, cinco se clasifican como</w:t>
      </w:r>
      <w:r>
        <w:t xml:space="preserve"> </w:t>
      </w:r>
      <w:r>
        <w:rPr>
          <w:b/>
          <w:bCs/>
        </w:rPr>
        <w:t xml:space="preserve">estables</w:t>
      </w:r>
      <w:r>
        <w:t xml:space="preserve"> </w:t>
      </w:r>
      <w:r>
        <w:t xml:space="preserve">—CP Aguas Negras (</w:t>
      </w:r>
      <m:oMath>
        <m:r>
          <m:t>z</m:t>
        </m:r>
        <m:r>
          <m:rPr>
            <m:sty m:val="p"/>
          </m:rPr>
          <m:t>=</m:t>
        </m:r>
        <m:r>
          <m:rPr>
            <m:sty m:val="p"/>
          </m:rPr>
          <m:t>+</m:t>
        </m:r>
        <m:r>
          <m:t>1</m:t>
        </m:r>
        <m:r>
          <m:rPr>
            <m:sty m:val="p"/>
          </m:rPr>
          <m:t>,</m:t>
        </m:r>
        <m:r>
          <m:t>63</m:t>
        </m:r>
      </m:oMath>
      <w:r>
        <w:t xml:space="preserve">), CP Luna (</w:t>
      </w:r>
      <m:oMath>
        <m:r>
          <m:t>z</m:t>
        </m:r>
        <m:r>
          <m:rPr>
            <m:sty m:val="p"/>
          </m:rPr>
          <m:t>=</m:t>
        </m:r>
        <m:r>
          <m:rPr>
            <m:sty m:val="p"/>
          </m:rPr>
          <m:t>+</m:t>
        </m:r>
        <m:r>
          <m:t>2</m:t>
        </m:r>
        <m:r>
          <m:rPr>
            <m:sty m:val="p"/>
          </m:rPr>
          <m:t>,</m:t>
        </m:r>
        <m:r>
          <m:t>38</m:t>
        </m:r>
      </m:oMath>
      <w:r>
        <w:t xml:space="preserve">), Caño Palos (</w:t>
      </w:r>
      <m:oMath>
        <m:r>
          <m:t>z</m:t>
        </m:r>
        <m:r>
          <m:rPr>
            <m:sty m:val="p"/>
          </m:rPr>
          <m:t>=</m:t>
        </m:r>
        <m:r>
          <m:rPr>
            <m:sty m:val="p"/>
          </m:rPr>
          <m:t>+</m:t>
        </m:r>
        <m:r>
          <m:t>1</m:t>
        </m:r>
        <m:r>
          <m:rPr>
            <m:sty m:val="p"/>
          </m:rPr>
          <m:t>,</m:t>
        </m:r>
        <m:r>
          <m:t>25</m:t>
        </m:r>
      </m:oMath>
      <w:r>
        <w:t xml:space="preserve">), Isla Boquerón (</w:t>
      </w:r>
      <m:oMath>
        <m:r>
          <m:t>z</m:t>
        </m:r>
        <m:r>
          <m:rPr>
            <m:sty m:val="p"/>
          </m:rPr>
          <m:t>=</m:t>
        </m:r>
        <m:r>
          <m:rPr>
            <m:sty m:val="p"/>
          </m:rPr>
          <m:t>+</m:t>
        </m:r>
        <m:r>
          <m:t>0</m:t>
        </m:r>
        <m:r>
          <m:rPr>
            <m:sty m:val="p"/>
          </m:rPr>
          <m:t>,</m:t>
        </m:r>
        <m:r>
          <m:t>81</m:t>
        </m:r>
      </m:oMath>
      <w:r>
        <w:t xml:space="preserve">) y Punta Cerro (</w:t>
      </w:r>
      <m:oMath>
        <m:r>
          <m:t>z</m:t>
        </m:r>
        <m:r>
          <m:rPr>
            <m:sty m:val="p"/>
          </m:rPr>
          <m:t>=</m:t>
        </m:r>
        <m:r>
          <m:rPr>
            <m:sty m:val="p"/>
          </m:rPr>
          <m:t>+</m:t>
        </m:r>
        <m:r>
          <m:t>0</m:t>
        </m:r>
        <m:r>
          <m:rPr>
            <m:sty m:val="p"/>
          </m:rPr>
          <m:t>,</m:t>
        </m:r>
        <m:r>
          <m:t>15</m:t>
        </m:r>
      </m:oMath>
      <w:r>
        <w:t xml:space="preserve">)— y tres permanecen bajo</w:t>
      </w:r>
      <w:r>
        <w:t xml:space="preserve"> </w:t>
      </w:r>
      <w:r>
        <w:rPr>
          <w:b/>
          <w:bCs/>
        </w:rPr>
        <w:t xml:space="preserve">alerta</w:t>
      </w:r>
      <w:r>
        <w:t xml:space="preserve"> </w:t>
      </w:r>
      <w:r>
        <w:t xml:space="preserve">—Caño Clarín, Punta Chino y Río Sevilla—. El análisis del subgrupo de alertas muestra que ninguna responde a una caída drástica del NDVI en el último mes (los</w:t>
      </w:r>
      <w:r>
        <w:t xml:space="preserve"> </w:t>
      </w:r>
      <m:oMath>
        <m:r>
          <m:t>z</m:t>
        </m:r>
      </m:oMath>
      <w:r>
        <w:t xml:space="preserve"> </w:t>
      </w:r>
      <w:r>
        <w:t xml:space="preserve">actuales se mantienen positivos) sino a la persistencia de anomalías históricas en los doce meses previos (entre una y dos anomalías</w:t>
      </w:r>
      <w:r>
        <w:t xml:space="preserve"> </w:t>
      </w:r>
      <m:oMath>
        <m:r>
          <m:t>z</m:t>
        </m:r>
        <m:r>
          <m:rPr>
            <m:sty m:val="p"/>
          </m:rPr>
          <m:t>&lt;</m:t>
        </m:r>
        <m:r>
          <m:rPr>
            <m:sty m:val="p"/>
          </m:rPr>
          <m:t>−</m:t>
        </m:r>
        <m:r>
          <m:t>1</m:t>
        </m:r>
        <m:r>
          <m:rPr>
            <m:sty m:val="p"/>
          </m:rPr>
          <m:t>,</m:t>
        </m:r>
        <m:r>
          <m:t>38</m:t>
        </m:r>
      </m:oMath>
      <w:r>
        <w:t xml:space="preserve">), comportamiento esperable en estaciones de borde lagunar y transición fluvial donde la variabilidad estacional natural es más amplia. Es destacable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fotografía cuantitativa del estado del ecosistema sustentada en una lógica reproducible, ejecutable mensualmente al ingreso de cada nuevo composite Sentinel-2.</w:t>
      </w:r>
    </w:p>
    <w:tbl>
      <w:tblPr>
        <w:tblStyle w:val="Table"/>
        <w:tblW w:type="pct" w:w="5000"/>
        <w:tblLayout w:type="fixed"/>
        <w:tblLook w:firstRow="0" w:lastRow="0" w:firstColumn="0" w:lastColumn="0" w:noHBand="0" w:noVBand="0" w:val="0000"/>
      </w:tblPr>
      <w:tblGrid>
        <w:gridCol w:w="7920"/>
      </w:tblGrid>
      <w:tr>
        <w:tc>
          <w:tcPr/>
          <w:bookmarkStart w:id="132" w:name="tbl-alertas"/>
          <w:p>
            <w:pPr>
              <w:jc w:val="center"/>
            </w:pPr>
            <w:pPr>
              <w:jc w:val="left"/>
              <w:spacing w:before="200"/>
              <w:pStyle w:val="ImageCaption"/>
            </w:pPr>
            <w:r>
              <w:t xml:space="preserve">Tabla 23: Estado actual del manglar de la CGSM por estación de monitoreo según el módulo de alertas tempranas, calculado sobre el corte temporal 2024-12 a 2025-12 utilizando las series NDVI y SAR-VH ya construidas. El campo</w:t>
            </w:r>
            <w:r>
              <w:t xml:space="preserve"> </w:t>
            </w:r>
            <m:oMath>
              <m:r>
                <m:t>z</m:t>
              </m:r>
            </m:oMath>
            <w:r>
              <w:t xml:space="preserve"> </w:t>
            </w:r>
            <w:r>
              <w:t xml:space="preserve">actual corresponde al z-score NDVI del último mes disponible.</w:t>
            </w:r>
          </w:p>
          <w:tbl>
            <w:tblPr>
              <w:tblStyle w:val="Table"/>
              <w:tblW w:type="pct" w:w="5000"/>
              <w:tblLayout w:type="fixed"/>
              <w:tblLook w:firstRow="1" w:lastRow="0" w:firstColumn="0" w:lastColumn="0" w:noHBand="0" w:noVBand="0" w:val="0020"/>
            </w:tblPr>
            <w:tblGrid>
              <w:gridCol w:w="1584"/>
              <w:gridCol w:w="1108"/>
              <w:gridCol w:w="950"/>
              <w:gridCol w:w="1108"/>
              <w:gridCol w:w="3168"/>
            </w:tblGrid>
            <w:tr>
              <w:trPr>
                <w:tblHeader w:val="on"/>
              </w:trPr>
              <w:tc>
                <w:tcPr/>
                <w:p>
                  <w:pPr>
                    <w:pStyle w:val="Compact"/>
                    <w:jc w:val="center"/>
                  </w:pPr>
                  <w:r>
                    <w:t xml:space="preserve">Estación</w:t>
                  </w:r>
                </w:p>
              </w:tc>
              <w:tc>
                <w:tcPr/>
                <w:p>
                  <w:pPr>
                    <w:pStyle w:val="Compact"/>
                    <w:jc w:val="center"/>
                  </w:pPr>
                  <w:r>
                    <w:t xml:space="preserve">Estado</w:t>
                  </w:r>
                </w:p>
              </w:tc>
              <w:tc>
                <w:tcPr/>
                <w:p>
                  <w:pPr>
                    <w:pStyle w:val="Compact"/>
                    <w:jc w:val="center"/>
                  </w:pPr>
                  <m:oMath>
                    <m:r>
                      <m:t>z</m:t>
                    </m:r>
                  </m:oMath>
                  <w:r>
                    <w:t xml:space="preserve"> </w:t>
                  </w:r>
                  <w:r>
                    <w:t xml:space="preserve">actual</w:t>
                  </w:r>
                </w:p>
              </w:tc>
              <w:tc>
                <w:tcPr/>
                <w:p>
                  <w:pPr>
                    <w:pStyle w:val="Compact"/>
                    <w:jc w:val="center"/>
                  </w:pPr>
                  <w:r>
                    <w:t xml:space="preserve">NDVI actual</w:t>
                  </w:r>
                </w:p>
              </w:tc>
              <w:tc>
                <w:tcPr/>
                <w:p>
                  <w:pPr>
                    <w:pStyle w:val="Compact"/>
                    <w:jc w:val="center"/>
                  </w:pPr>
                  <w:r>
                    <w:t xml:space="preserve">Razón principal</w:t>
                  </w:r>
                </w:p>
              </w:tc>
            </w:tr>
            <w:tr>
              <w:tc>
                <w:tcPr/>
                <w:p>
                  <w:pPr>
                    <w:pStyle w:val="Compact"/>
                    <w:jc w:val="center"/>
                  </w:pPr>
                  <w:r>
                    <w:t xml:space="preserve">CP Aguas Negras</w:t>
                  </w:r>
                </w:p>
              </w:tc>
              <w:tc>
                <w:tcPr/>
                <w:p>
                  <w:pPr>
                    <w:pStyle w:val="Compact"/>
                    <w:jc w:val="center"/>
                  </w:pPr>
                  <w:r>
                    <w:t xml:space="preserve">🟢 estable</w:t>
                  </w:r>
                </w:p>
              </w:tc>
              <w:tc>
                <w:tcPr/>
                <w:p>
                  <w:pPr>
                    <w:pStyle w:val="Compact"/>
                    <w:jc w:val="center"/>
                  </w:pPr>
                  <w:r>
                    <w:t xml:space="preserve">+1,63</w:t>
                  </w:r>
                </w:p>
              </w:tc>
              <w:tc>
                <w:tcPr/>
                <w:p>
                  <w:pPr>
                    <w:pStyle w:val="Compact"/>
                    <w:jc w:val="center"/>
                  </w:pPr>
                  <w:r>
                    <w:t xml:space="preserve">0,770</w:t>
                  </w:r>
                </w:p>
              </w:tc>
              <w:tc>
                <w:tcPr/>
                <w:p>
                  <w:pPr>
                    <w:pStyle w:val="Compact"/>
                    <w:jc w:val="center"/>
                  </w:pPr>
                  <w:r>
                    <w:t xml:space="preserve">Sin anomalías en 12 meses</w:t>
                  </w:r>
                </w:p>
              </w:tc>
            </w:tr>
            <w:tr>
              <w:tc>
                <w:tcPr/>
                <w:p>
                  <w:pPr>
                    <w:pStyle w:val="Compact"/>
                    <w:jc w:val="center"/>
                  </w:pPr>
                  <w:r>
                    <w:t xml:space="preserve">CP Luna</w:t>
                  </w:r>
                </w:p>
              </w:tc>
              <w:tc>
                <w:tcPr/>
                <w:p>
                  <w:pPr>
                    <w:pStyle w:val="Compact"/>
                    <w:jc w:val="center"/>
                  </w:pPr>
                  <w:r>
                    <w:t xml:space="preserve">🟢 estable</w:t>
                  </w:r>
                </w:p>
              </w:tc>
              <w:tc>
                <w:tcPr/>
                <w:p>
                  <w:pPr>
                    <w:pStyle w:val="Compact"/>
                    <w:jc w:val="center"/>
                  </w:pPr>
                  <w:r>
                    <w:t xml:space="preserve">+2,38</w:t>
                  </w:r>
                </w:p>
              </w:tc>
              <w:tc>
                <w:tcPr/>
                <w:p>
                  <w:pPr>
                    <w:pStyle w:val="Compact"/>
                    <w:jc w:val="center"/>
                  </w:pPr>
                  <w:r>
                    <w:t xml:space="preserve">0,664</w:t>
                  </w:r>
                </w:p>
              </w:tc>
              <w:tc>
                <w:tcPr/>
                <w:p>
                  <w:pPr>
                    <w:pStyle w:val="Compact"/>
                    <w:jc w:val="center"/>
                  </w:pPr>
                  <w:r>
                    <w:t xml:space="preserve">Sin anomalías en 12 meses</w:t>
                  </w:r>
                </w:p>
              </w:tc>
            </w:tr>
            <w:tr>
              <w:tc>
                <w:tcPr/>
                <w:p>
                  <w:pPr>
                    <w:pStyle w:val="Compact"/>
                    <w:jc w:val="center"/>
                  </w:pPr>
                  <w:r>
                    <w:t xml:space="preserve">Caño Palos</w:t>
                  </w:r>
                </w:p>
              </w:tc>
              <w:tc>
                <w:tcPr/>
                <w:p>
                  <w:pPr>
                    <w:pStyle w:val="Compact"/>
                    <w:jc w:val="center"/>
                  </w:pPr>
                  <w:r>
                    <w:t xml:space="preserve">🟢 estable</w:t>
                  </w:r>
                </w:p>
              </w:tc>
              <w:tc>
                <w:tcPr/>
                <w:p>
                  <w:pPr>
                    <w:pStyle w:val="Compact"/>
                    <w:jc w:val="center"/>
                  </w:pPr>
                  <w:r>
                    <w:t xml:space="preserve">+1,25</w:t>
                  </w:r>
                </w:p>
              </w:tc>
              <w:tc>
                <w:tcPr/>
                <w:p>
                  <w:pPr>
                    <w:pStyle w:val="Compact"/>
                    <w:jc w:val="center"/>
                  </w:pPr>
                  <w:r>
                    <w:t xml:space="preserve">0,849</w:t>
                  </w:r>
                </w:p>
              </w:tc>
              <w:tc>
                <w:tcPr/>
                <w:p>
                  <w:pPr>
                    <w:pStyle w:val="Compact"/>
                    <w:jc w:val="center"/>
                  </w:pPr>
                  <w:r>
                    <w:t xml:space="preserve">Sin anomalías en 12 meses</w:t>
                  </w:r>
                </w:p>
              </w:tc>
            </w:tr>
            <w:tr>
              <w:tc>
                <w:tcPr/>
                <w:p>
                  <w:pPr>
                    <w:pStyle w:val="Compact"/>
                    <w:jc w:val="center"/>
                  </w:pPr>
                  <w:r>
                    <w:t xml:space="preserve">Isla Boquerón</w:t>
                  </w:r>
                </w:p>
              </w:tc>
              <w:tc>
                <w:tcPr/>
                <w:p>
                  <w:pPr>
                    <w:pStyle w:val="Compact"/>
                    <w:jc w:val="center"/>
                  </w:pPr>
                  <w:r>
                    <w:t xml:space="preserve">🟢 estable</w:t>
                  </w:r>
                </w:p>
              </w:tc>
              <w:tc>
                <w:tcPr/>
                <w:p>
                  <w:pPr>
                    <w:pStyle w:val="Compact"/>
                    <w:jc w:val="center"/>
                  </w:pPr>
                  <w:r>
                    <w:t xml:space="preserve">+0,81</w:t>
                  </w:r>
                </w:p>
              </w:tc>
              <w:tc>
                <w:tcPr/>
                <w:p>
                  <w:pPr>
                    <w:pStyle w:val="Compact"/>
                    <w:jc w:val="center"/>
                  </w:pPr>
                  <w:r>
                    <w:t xml:space="preserve">0,308</w:t>
                  </w:r>
                </w:p>
              </w:tc>
              <w:tc>
                <w:tcPr/>
                <w:p>
                  <w:pPr>
                    <w:pStyle w:val="Compact"/>
                    <w:jc w:val="center"/>
                  </w:pPr>
                  <w:r>
                    <w:t xml:space="preserve">Sin anomalías en 12 meses</w:t>
                  </w:r>
                </w:p>
              </w:tc>
            </w:tr>
            <w:tr>
              <w:tc>
                <w:tcPr/>
                <w:p>
                  <w:pPr>
                    <w:pStyle w:val="Compact"/>
                    <w:jc w:val="center"/>
                  </w:pPr>
                  <w:r>
                    <w:t xml:space="preserve">Punta Cerro</w:t>
                  </w:r>
                </w:p>
              </w:tc>
              <w:tc>
                <w:tcPr/>
                <w:p>
                  <w:pPr>
                    <w:pStyle w:val="Compact"/>
                    <w:jc w:val="center"/>
                  </w:pPr>
                  <w:r>
                    <w:t xml:space="preserve">🟢 estable</w:t>
                  </w:r>
                </w:p>
              </w:tc>
              <w:tc>
                <w:tcPr/>
                <w:p>
                  <w:pPr>
                    <w:pStyle w:val="Compact"/>
                    <w:jc w:val="center"/>
                  </w:pPr>
                  <w:r>
                    <w:t xml:space="preserve">+0,15</w:t>
                  </w:r>
                </w:p>
              </w:tc>
              <w:tc>
                <w:tcPr/>
                <w:p>
                  <w:pPr>
                    <w:pStyle w:val="Compact"/>
                    <w:jc w:val="center"/>
                  </w:pPr>
                  <w:r>
                    <w:t xml:space="preserve">0,145</w:t>
                  </w:r>
                </w:p>
              </w:tc>
              <w:tc>
                <w:tcPr/>
                <w:p>
                  <w:pPr>
                    <w:pStyle w:val="Compact"/>
                    <w:jc w:val="center"/>
                  </w:pPr>
                  <w:r>
                    <w:t xml:space="preserve">Sin anomalías en 12 meses</w:t>
                  </w:r>
                </w:p>
              </w:tc>
            </w:tr>
            <w:tr>
              <w:tc>
                <w:tcPr/>
                <w:p>
                  <w:pPr>
                    <w:pStyle w:val="Compact"/>
                    <w:jc w:val="center"/>
                  </w:pPr>
                  <w:r>
                    <w:t xml:space="preserve">Caño Clarín</w:t>
                  </w:r>
                </w:p>
              </w:tc>
              <w:tc>
                <w:tcPr/>
                <w:p>
                  <w:pPr>
                    <w:pStyle w:val="Compact"/>
                    <w:jc w:val="center"/>
                  </w:pPr>
                  <w:r>
                    <w:t xml:space="preserve">🟡 alerta</w:t>
                  </w:r>
                </w:p>
              </w:tc>
              <w:tc>
                <w:tcPr/>
                <w:p>
                  <w:pPr>
                    <w:pStyle w:val="Compact"/>
                    <w:jc w:val="center"/>
                  </w:pPr>
                  <w:r>
                    <w:t xml:space="preserve">+0,31</w:t>
                  </w:r>
                </w:p>
              </w:tc>
              <w:tc>
                <w:tcPr/>
                <w:p>
                  <w:pPr>
                    <w:pStyle w:val="Compact"/>
                    <w:jc w:val="center"/>
                  </w:pPr>
                  <w:r>
                    <w:t xml:space="preserve">0,735</w:t>
                  </w:r>
                </w:p>
              </w:tc>
              <w:tc>
                <w:tcPr/>
                <w:p>
                  <w:pPr>
                    <w:pStyle w:val="Compact"/>
                    <w:jc w:val="center"/>
                  </w:pPr>
                  <w:r>
                    <w:t xml:space="preserve">2 anomalías en 12 meses</w:t>
                  </w:r>
                </w:p>
              </w:tc>
            </w:tr>
            <w:tr>
              <w:tc>
                <w:tcPr/>
                <w:p>
                  <w:pPr>
                    <w:pStyle w:val="Compact"/>
                    <w:jc w:val="center"/>
                  </w:pPr>
                  <w:r>
                    <w:t xml:space="preserve">Punta Chino</w:t>
                  </w:r>
                </w:p>
              </w:tc>
              <w:tc>
                <w:tcPr/>
                <w:p>
                  <w:pPr>
                    <w:pStyle w:val="Compact"/>
                    <w:jc w:val="center"/>
                  </w:pPr>
                  <w:r>
                    <w:t xml:space="preserve">🟡 alerta</w:t>
                  </w:r>
                </w:p>
              </w:tc>
              <w:tc>
                <w:tcPr/>
                <w:p>
                  <w:pPr>
                    <w:pStyle w:val="Compact"/>
                    <w:jc w:val="center"/>
                  </w:pPr>
                  <w:r>
                    <w:t xml:space="preserve">+0,69</w:t>
                  </w:r>
                </w:p>
              </w:tc>
              <w:tc>
                <w:tcPr/>
                <w:p>
                  <w:pPr>
                    <w:pStyle w:val="Compact"/>
                    <w:jc w:val="center"/>
                  </w:pPr>
                  <w:r>
                    <w:t xml:space="preserve">0,337</w:t>
                  </w:r>
                </w:p>
              </w:tc>
              <w:tc>
                <w:tcPr/>
                <w:p>
                  <w:pPr>
                    <w:pStyle w:val="Compact"/>
                    <w:jc w:val="center"/>
                  </w:pPr>
                  <m:oMath>
                    <m:r>
                      <m:t>z</m:t>
                    </m:r>
                  </m:oMath>
                  <w:r>
                    <w:t xml:space="preserve"> </w:t>
                  </w:r>
                  <w:r>
                    <w:t xml:space="preserve">mínimo 3 meses = -1,38</w:t>
                  </w:r>
                </w:p>
              </w:tc>
            </w:tr>
            <w:tr>
              <w:tc>
                <w:tcPr/>
                <w:p>
                  <w:pPr>
                    <w:pStyle w:val="Compact"/>
                    <w:jc w:val="center"/>
                  </w:pPr>
                  <w:r>
                    <w:t xml:space="preserve">Río Sevilla</w:t>
                  </w:r>
                </w:p>
              </w:tc>
              <w:tc>
                <w:tcPr/>
                <w:p>
                  <w:pPr>
                    <w:pStyle w:val="Compact"/>
                    <w:jc w:val="center"/>
                  </w:pPr>
                  <w:r>
                    <w:t xml:space="preserve">🟡 alerta</w:t>
                  </w:r>
                </w:p>
              </w:tc>
              <w:tc>
                <w:tcPr/>
                <w:p>
                  <w:pPr>
                    <w:pStyle w:val="Compact"/>
                    <w:jc w:val="center"/>
                  </w:pPr>
                  <w:r>
                    <w:t xml:space="preserve">+0,61</w:t>
                  </w:r>
                </w:p>
              </w:tc>
              <w:tc>
                <w:tcPr/>
                <w:p>
                  <w:pPr>
                    <w:pStyle w:val="Compact"/>
                    <w:jc w:val="center"/>
                  </w:pPr>
                  <w:r>
                    <w:t xml:space="preserve">0,215</w:t>
                  </w:r>
                </w:p>
              </w:tc>
              <w:tc>
                <w:tcPr/>
                <w:p>
                  <w:pPr>
                    <w:pStyle w:val="Compact"/>
                    <w:jc w:val="center"/>
                  </w:pPr>
                  <m:oMath>
                    <m:r>
                      <m:t>z</m:t>
                    </m:r>
                  </m:oMath>
                  <w:r>
                    <w:t xml:space="preserve"> </w:t>
                  </w:r>
                  <w:r>
                    <w:t xml:space="preserve">mínimo 3 meses = -1,55; 2 anomalías</w:t>
                  </w:r>
                </w:p>
              </w:tc>
            </w:tr>
          </w:tbl>
          <w:bookmarkEnd w:id="132"/>
          <w:p/>
        </w:tc>
      </w:tr>
    </w:tbl>
    <w:p>
      <w:pPr>
        <w:pStyle w:val="BodyText"/>
      </w:pPr>
      <w:r>
        <w:t xml:space="preserve">Los productos del proyecto se sintetizan en un</w:t>
      </w:r>
      <w:r>
        <w:t xml:space="preserve"> </w:t>
      </w:r>
      <w:r>
        <w:rPr>
          <w:b/>
          <w:bCs/>
        </w:rPr>
        <w:t xml:space="preserve">dashboard interactivo</w:t>
      </w:r>
      <w:r>
        <w:t xml:space="preserve"> </w:t>
      </w:r>
      <w:r>
        <w:t xml:space="preserve">HTML autocontenido (</w:t>
      </w:r>
      <w:r>
        <w:rPr>
          <w:rStyle w:val="VerbatimChar"/>
        </w:rPr>
        <w:t xml:space="preserve">src/python/make_dashboard_html.py</w:t>
      </w:r>
      <w: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t xml:space="preserve"> </w:t>
      </w:r>
      <w:r>
        <w:rPr>
          <w:rStyle w:val="VerbatimChar"/>
        </w:rPr>
        <w:t xml:space="preserve">mapId</w:t>
      </w:r>
      <w:r>
        <w:t xml:space="preserve"> </w:t>
      </w:r>
      <w:r>
        <w:t xml:space="preserve">de Earth Engine tienen vigencia de algunas horas y conviene regenerar el HTML poco antes de cada sesión de presentación.</w:t>
      </w:r>
    </w:p>
    <w:bookmarkEnd w:id="133"/>
    <w:bookmarkEnd w:id="134"/>
    <w:bookmarkStart w:id="136" w:name="conclusiones"/>
    <w:p>
      <w:pPr>
        <w:pStyle w:val="Heading1"/>
      </w:pPr>
      <w:r>
        <w:t xml:space="preserve">10. Conclusiones</w:t>
      </w:r>
    </w:p>
    <w:p>
      <w:pPr>
        <w:pStyle w:val="FirstParagraph"/>
      </w:pPr>
      <w: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
          <w:bCs/>
        </w:rPr>
        <w:t xml:space="preserve">Quiebres estructurales y anomalías temporales.</w:t>
      </w:r>
      <w:r>
        <w:t xml:space="preserve"> </w:t>
      </w:r>
      <w: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
          <w:bCs/>
        </w:rPr>
        <w:t xml:space="preserve">Contracción del área con consolidación estructural y ganancia de vigor.</w:t>
      </w:r>
      <w:r>
        <w:t xml:space="preserve"> </w:t>
      </w:r>
      <w: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t xml:space="preserve"> </w:t>
      </w:r>
      <w:hyperlink w:anchor="fig-ndvi-cambio">
        <w:r>
          <w:rPr>
            <w:rStyle w:val="Hyperlink"/>
          </w:rPr>
          <w:t xml:space="preserve">figura 2</w:t>
        </w:r>
      </w:hyperlink>
      <w:r>
        <w:t xml:space="preserve">) y en la recuperación del NDVI mediano del manglar (figura</w:t>
      </w:r>
      <w:r>
        <w:t xml:space="preserve"> </w:t>
      </w:r>
      <w:hyperlink w:anchor="fig-ndvi-manglar">
        <w:r>
          <w:rPr>
            <w:rStyle w:val="Hyperlink"/>
          </w:rPr>
          <w:t xml:space="preserve">figura 4</w:t>
        </w:r>
      </w:hyperlink>
      <w: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
          <w:bCs/>
        </w:rPr>
        <w:t xml:space="preserve">Inundación SAR y dinámica hídrica de largo plazo.</w:t>
      </w:r>
      <w:r>
        <w:t xml:space="preserve"> </w:t>
      </w:r>
      <w: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
          <w:bCs/>
        </w:rPr>
        <w:t xml:space="preserve">Validación doble + benchmark Random Forest.</w:t>
      </w:r>
      <w:r>
        <w:t xml:space="preserve"> </w:t>
      </w:r>
      <w:r>
        <w:t xml:space="preserve">La clasificación por umbrales contra INVEMAR 1:25.000 y ESA WorldCover v200 arroja F1-scores convergentes de</w:t>
      </w:r>
      <w:r>
        <w:t xml:space="preserve"> </w:t>
      </w:r>
      <w:r>
        <w:rPr>
          <w:b/>
          <w:bCs/>
        </w:rPr>
        <w:t xml:space="preserve">0,583</w:t>
      </w:r>
      <w:r>
        <w:t xml:space="preserve"> </w:t>
      </w:r>
      <w:r>
        <w:t xml:space="preserve">y</w:t>
      </w:r>
      <w:r>
        <w:t xml:space="preserve"> </w:t>
      </w:r>
      <w:r>
        <w:rPr>
          <w:b/>
          <w:bCs/>
        </w:rPr>
        <w:t xml:space="preserve">0,548</w:t>
      </w:r>
      <w:r>
        <w:t xml:space="preserve"> </w:t>
      </w:r>
      <w:r>
        <w:t xml:space="preserve">respectivamente, con Precisión entre 0,768 y 0,811 y Specificity entre 0,944 y 0,954, mejora del 24 al 32 % sobre el F1 de 0,442 del baseline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t xml:space="preserve"> </w:t>
      </w:r>
      <w:r>
        <w:rPr>
          <w:b/>
          <w:bCs/>
        </w:rPr>
        <w:t xml:space="preserve">0,826</w:t>
      </w:r>
      <w:r>
        <w:t xml:space="preserve"> </w:t>
      </w:r>
      <w:r>
        <w:t xml:space="preserve">frente a INVEMAR y</w:t>
      </w:r>
      <w:r>
        <w:t xml:space="preserve"> </w:t>
      </w:r>
      <w:r>
        <w:rPr>
          <w:b/>
          <w:bCs/>
        </w:rPr>
        <w:t xml:space="preserve">0,889</w:t>
      </w:r>
      <w:r>
        <w:t xml:space="preserve"> </w:t>
      </w:r>
      <w:r>
        <w:t xml:space="preserve">frente a WorldCover (tabla</w:t>
      </w:r>
      <w:r>
        <w:t xml:space="preserve"> </w:t>
      </w:r>
      <w:hyperlink w:anchor="tbl-benchmark-rf">
        <w:r>
          <w:rPr>
            <w:rStyle w:val="Hyperlink"/>
          </w:rPr>
          <w:t xml:space="preserve">tabla 21</w:t>
        </w:r>
      </w:hyperlink>
      <w: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
          <w:bCs/>
        </w:rPr>
        <w:t xml:space="preserve">SAR-VH continuo + alertas tempranas Nivel 2 Digital Twin.</w:t>
      </w:r>
      <w:r>
        <w:t xml:space="preserve"> </w:t>
      </w:r>
      <w:r>
        <w:t xml:space="preserve">La serie temporal continua Sentinel-1 SAR-VH 2018–2025 (figura</w:t>
      </w:r>
      <w:r>
        <w:t xml:space="preserve"> </w:t>
      </w:r>
      <w:hyperlink w:anchor="fig-sar-serie">
        <w:r>
          <w:rPr>
            <w:rStyle w:val="Hyperlink"/>
          </w:rPr>
          <w:t xml:space="preserve">figura 13</w:t>
        </w:r>
      </w:hyperlink>
      <w:r>
        <w:t xml:space="preserve">) sobre las ocho estaciones extiende el uso del radar más allá del evento puntual de septiembre 2020 y aporta sensibilidad ante perturbaciones sub-canopy invisibles al sensor óptico, con correlaciones positivas altamente significativas entre SAR-VH y NDVI sobre el Complejo de Pajarales (CP Aguas Negras</w:t>
      </w:r>
      <w:r>
        <w:t xml:space="preserve"> </w:t>
      </w:r>
      <m:oMath>
        <m:r>
          <m:t>ρ</m:t>
        </m:r>
        <m:r>
          <m:rPr>
            <m:sty m:val="p"/>
          </m:rPr>
          <m:t>=</m:t>
        </m:r>
        <m:r>
          <m:rPr>
            <m:sty m:val="p"/>
          </m:rPr>
          <m:t>+</m:t>
        </m:r>
        <m:r>
          <m:t>0</m:t>
        </m:r>
        <m:r>
          <m:rPr>
            <m:sty m:val="p"/>
          </m:rPr>
          <m:t>,</m:t>
        </m:r>
        <m:r>
          <m:t>807</m:t>
        </m:r>
      </m:oMath>
      <w:r>
        <w:t xml:space="preserve"> </w:t>
      </w:r>
      <w:r>
        <w:t xml:space="preserve">y CP Luna</w:t>
      </w:r>
      <w:r>
        <w:t xml:space="preserve"> </w:t>
      </w:r>
      <m:oMath>
        <m:r>
          <m:t>ρ</m:t>
        </m:r>
        <m:r>
          <m:rPr>
            <m:sty m:val="p"/>
          </m:rPr>
          <m:t>=</m:t>
        </m:r>
        <m:r>
          <m:rPr>
            <m:sty m:val="p"/>
          </m:rPr>
          <m:t>+</m:t>
        </m:r>
        <m:r>
          <m:t>0</m:t>
        </m:r>
        <m:r>
          <m:rPr>
            <m:sty m:val="p"/>
          </m:rPr>
          <m:t>,</m:t>
        </m:r>
        <m:r>
          <m:t>731</m:t>
        </m:r>
      </m:oMath>
      <w:r>
        <w:t xml:space="preserve"> </w:t>
      </w:r>
      <w:r>
        <w:t xml:space="preserve">en rezago cero, ambas con</w:t>
      </w:r>
      <w:r>
        <w:t xml:space="preserve"> </w:t>
      </w:r>
      <m:oMath>
        <m:r>
          <m:t>p</m:t>
        </m:r>
        <m:r>
          <m:rPr>
            <m:sty m:val="p"/>
          </m:rPr>
          <m:t>&lt;</m:t>
        </m:r>
        <m:r>
          <m:t>0</m:t>
        </m:r>
        <m:r>
          <m:rPr>
            <m:sty m:val="p"/>
          </m:rPr>
          <m:t>,</m:t>
        </m:r>
        <m:r>
          <m:t>001</m:t>
        </m:r>
      </m:oMath>
      <w:r>
        <w:t xml:space="preserve">, tabla</w:t>
      </w:r>
      <w:r>
        <w:t xml:space="preserve"> </w:t>
      </w:r>
      <w:hyperlink w:anchor="tbl-sar-ndvi-corr">
        <w:r>
          <w:rPr>
            <w:rStyle w:val="Hyperlink"/>
          </w:rPr>
          <w:t xml:space="preserve">tabla 22</w:t>
        </w:r>
      </w:hyperlink>
      <w:r>
        <w:t xml:space="preserve">). La integración de las series NDVI, SAR-VH y los quiebres bfast en un módulo operativo de alertas tempranas (figura</w:t>
      </w:r>
      <w:r>
        <w:t xml:space="preserve"> </w:t>
      </w:r>
      <w:hyperlink w:anchor="fig-alertas">
        <w:r>
          <w:rPr>
            <w:rStyle w:val="Hyperlink"/>
          </w:rPr>
          <w:t xml:space="preserve">figura 14</w:t>
        </w:r>
      </w:hyperlink>
      <w:r>
        <w:t xml:space="preserve">, tabla</w:t>
      </w:r>
      <w:r>
        <w:t xml:space="preserve"> </w:t>
      </w:r>
      <w:hyperlink w:anchor="tbl-alertas">
        <w:r>
          <w:rPr>
            <w:rStyle w:val="Hyperlink"/>
          </w:rPr>
          <w:t xml:space="preserve">tabla 23</w:t>
        </w:r>
      </w:hyperlink>
      <w:r>
        <w:t xml:space="preserve">) materializa el Nivel 2 del paradigma Digital Twin: la ejecución sobre el corte 2024-12 a 2025-12 arroja cinco estaciones</w:t>
      </w:r>
      <w:r>
        <w:t xml:space="preserve"> </w:t>
      </w:r>
      <w:r>
        <w:rPr>
          <w:b/>
          <w:bCs/>
        </w:rPr>
        <w:t xml:space="preserve">estables</w:t>
      </w:r>
      <w:r>
        <w:t xml:space="preserve"> </w:t>
      </w:r>
      <w:r>
        <w:t xml:space="preserve">—incluidas las cuatro de manglar denso del Complejo de Pajarales—, tres estaciones de borde en</w:t>
      </w:r>
      <w:r>
        <w:t xml:space="preserve"> </w:t>
      </w:r>
      <w:r>
        <w:rPr>
          <w:b/>
          <w:bCs/>
        </w:rPr>
        <w:t xml:space="preserve">alerta</w:t>
      </w:r>
      <w:r>
        <w:t xml:space="preserve"> </w:t>
      </w:r>
      <w:r>
        <w:t xml:space="preserve">—Río Sevilla, Punta Chino y Caño Clarín por persistencia de anomalías históricas— y ninguna en estado</w:t>
      </w:r>
      <w:r>
        <w:t xml:space="preserve"> </w:t>
      </w:r>
      <w:r>
        <w:rPr>
          <w:b/>
          <w:bCs/>
        </w:rPr>
        <w:t xml:space="preserve">crítico</w:t>
      </w:r>
      <w:r>
        <w:t xml:space="preserve">.</w:t>
      </w:r>
    </w:p>
    <w:p>
      <w:pPr>
        <w:pStyle w:val="BodyText"/>
      </w:pPr>
      <w:r>
        <w:rPr>
          <w:b/>
          <w:bCs/>
        </w:rPr>
        <w:t xml:space="preserve">Contraste con la literatura.</w:t>
      </w:r>
      <w:r>
        <w:t xml:space="preserve"> </w:t>
      </w:r>
      <w:r>
        <w:t xml:space="preserve">La cobertura total reportada bajo el AOI acotado —del orden de 4.000 a 12.000 ha según el periodo— es coherente con el rango estimado por el Global Mangrove Watch v3.0 para esta misma área en el ciclo 2018–2020 (Bunting et al., 2022), si bien el F1-score de 0,548 contra ESA WorldCover v200 es inferior al rango 0,80–0,90 reportado por Selvaraj y Gallego-Pérez (2023) para manglares del Pacífico colombiano con clasificador Random Forest sobre Landsat + SAR ALOS-2. La discrepancia se atribuye, primero, a que aquí se opera con umbrales espectrales sin entrenamiento supervisado y, segundo, a que el hábitat del Pacífico presenta menor heterogeneidad espectral con vegetación no-manglar comparada con el complejo lagunar de la CGSM, donde la vegetación riberana, los pastizales inundables y los salitrales comparten firmas espectrales con el manglar maduro. El análisis de tendencias mediante z-scores sobre Sentinel-2 reproduce la aproximación de Raza et al. (2024) sobre el manglar de Pakistán, extendiendo la serie con Landsat 8 hasta doce años —frente a los ocho del estudio original (2016–2023)— y sustituyendo la prueba de Mann-Kendall con pendiente de Sen por z-scores y bfast, lo que permite detectar quiebres estructurales asociados a ENSO previos al periodo Sentinel-2.</w:t>
      </w:r>
    </w:p>
    <w:p>
      <w:pPr>
        <w:pStyle w:val="BodyText"/>
      </w:pPr>
      <w:r>
        <w:rPr>
          <w:b/>
          <w:bCs/>
        </w:rPr>
        <w:t xml:space="preserve">Limitaciones técnicas.</w:t>
      </w:r>
      <w:r>
        <w:t xml:space="preserve"> </w:t>
      </w:r>
      <w:r>
        <w:t xml:space="preserve">Se identifican cuatro: el remuestreo de los composites RGB de 10 a 30 metros por restricciones de memoria para SamGeo (vit_b) que reduce la resolución de la segmentación; la discontinuidad espectral entre Landsat 8 y Sentinel-2 alrededor de 2018 —visible en VIPIS, NDVI medio L8 = 0,090 vs S2 = 0,353— que podría influir en la detección de quiebres por bfast; el F1-score de 0,548 que, si bien mejora en 24 % al baseline envolvente, sigue indicando subestimación de la Recall por el umbral conservador NDVI &gt; 0,70; y la aproximación del cálculo de áreas en Julia mediante conversión de coordenadas geográficas a metros, solucionada en el bloque vigente con reproyección a EPSG:9377.</w:t>
      </w:r>
    </w:p>
    <w:p>
      <w:pPr>
        <w:pStyle w:val="BodyText"/>
      </w:pPr>
      <w:r>
        <w:rPr>
          <w:b/>
          <w:bCs/>
        </w:rPr>
        <w:t xml:space="preserve">Trabajo futuro inmediato.</w:t>
      </w:r>
      <w:r>
        <w:t xml:space="preserve"> </w:t>
      </w:r>
      <w:r>
        <w:t xml:space="preserve">Primero, ampliar la red de estaciones IDEAM más allá de las dos ya integradas —El Banco y Ganadería Caribe, validadas además por precipitación CHIRPS sobre las mismas cuencas aportantes con convergencia entre ambas fuentes (tablas</w:t>
      </w:r>
      <w:r>
        <w:t xml:space="preserve"> </w:t>
      </w:r>
      <w:hyperlink w:anchor="tbl-caudal-corr">
        <w:r>
          <w:rPr>
            <w:rStyle w:val="Hyperlink"/>
          </w:rPr>
          <w:t xml:space="preserve">tabla 14</w:t>
        </w:r>
      </w:hyperlink>
      <w:r>
        <w:t xml:space="preserve"> </w:t>
      </w:r>
      <w:r>
        <w:t xml:space="preserve">y</w:t>
      </w:r>
      <w:r>
        <w:t xml:space="preserve"> </w:t>
      </w:r>
      <w:hyperlink w:anchor="tbl-chirps-corr">
        <w:r>
          <w:rPr>
            <w:rStyle w:val="Hyperlink"/>
          </w:rPr>
          <w:t xml:space="preserve">tabla 15</w:t>
        </w:r>
      </w:hyperlink>
      <w:r>
        <w:t xml:space="preserve">)— incorporando series de los ríos Fundación, Río Frío y los tributarios secundarios del bajo Magdalena. Segundo, profundizar el análisis ENSO con métricas de eventos discretos como duración acumulada de fases La Niña, así como con el Atlantic Multidecadal Oscillation (AMO) que podría modular la dinámica de la cuenca Magdalena. Tercero, refinar el clasificador para mejorar la Recall, en la medida en que el F1 actual de 0,58 frente al techo metodológico de 0,83 sugiere que un ajuste del umbral NDVI a 0,60 o el Random Forest ya implementado podrían aprovechar el margen disponible sin sacrificar la Precisión alcanzada. Cuarto, extender el análisis bfast unificado al periodo 2013–2025 incorporando Landsat 8 sobre las cuatro estaciones de manglar denso. Quinto, ampliar la ventana temporal del periodo</w:t>
      </w:r>
      <w:r>
        <w:t xml:space="preserve"> </w:t>
      </w:r>
      <w:r>
        <w:t xml:space="preserve">“actual”</w:t>
      </w:r>
      <w:r>
        <w:t xml:space="preserve"> </w:t>
      </w:r>
      <w:r>
        <w:t xml:space="preserve">a por lo menos dos ciclos anuales adicionales (julio 2025–junio 2027) para diferenciar entre fluctuación intermedia y tendencia estable.</w:t>
      </w:r>
    </w:p>
    <w:p>
      <w:pPr>
        <w:pStyle w:val="BodyText"/>
      </w:pPr>
      <w: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35" w:name="dimensión-humanitaria-del-monitoreo"/>
    <w:p>
      <w:pPr>
        <w:pStyle w:val="Heading2"/>
      </w:pPr>
      <w:r>
        <w:t xml:space="preserve">10.1 Dimensión humanitaria del monitoreo</w:t>
      </w:r>
    </w:p>
    <w:p>
      <w:pPr>
        <w:pStyle w:val="FirstParagraph"/>
      </w:pPr>
      <w: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35"/>
    <w:bookmarkEnd w:id="136"/>
    <w:bookmarkStart w:id="137" w:name="referencias"/>
    <w:p>
      <w:pPr>
        <w:pStyle w:val="Heading1"/>
      </w:pPr>
      <w:r>
        <w:t xml:space="preserve">11. Referencias</w:t>
      </w:r>
    </w:p>
    <w:p>
      <w:pPr>
        <w:pStyle w:val="FirstParagraph"/>
      </w:pPr>
      <w:r>
        <w:t xml:space="preserve">Beltrán, J., Rodríguez, J. C., Carbonó, E., y Blanco, J. (2022).</w:t>
      </w:r>
      <w:r>
        <w:t xml:space="preserve"> </w:t>
      </w:r>
      <w:r>
        <w:rPr>
          <w:i/>
          <w:iCs/>
        </w:rPr>
        <w:t xml:space="preserve">Datos de monitoreo de la estructura de los manglares de la Ciénaga Grande de Santa Marta (Magdalena)</w:t>
      </w:r>
      <w:r>
        <w:t xml:space="preserve"> </w:t>
      </w:r>
      <w:r>
        <w:t xml:space="preserve">[Conjunto de datos]. INVEMAR. https://doi.org/10.15472/0fqdp4</w:t>
      </w:r>
    </w:p>
    <w:p>
      <w:pPr>
        <w:pStyle w:val="BodyText"/>
      </w:pPr>
      <w:r>
        <w:t xml:space="preserve">Bunting, P., Rosenqvist, A., Hilarides, L., Lucas, R. M., Thomas, T., Tadono, T., Worthington, T. A., Spalding, M., Murray, N. J., y Rebelo, L.-M. (2022). Global mangrove extent change 1996–2020: Global Mangrove Watch versión 3.0.</w:t>
      </w:r>
      <w:r>
        <w:t xml:space="preserve"> </w:t>
      </w:r>
      <w:r>
        <w:rPr>
          <w:i/>
          <w:iCs/>
        </w:rPr>
        <w:t xml:space="preserve">Remote Sensing</w:t>
      </w:r>
      <w:r>
        <w:t xml:space="preserve">,</w:t>
      </w:r>
      <w:r>
        <w:t xml:space="preserve"> </w:t>
      </w:r>
      <w:r>
        <w:rPr>
          <w:i/>
          <w:iCs/>
        </w:rPr>
        <w:t xml:space="preserve">14</w:t>
      </w:r>
      <w:r>
        <w:t xml:space="preserve">(15), 3657. https://doi.org/10.3390/rs14153657</w:t>
      </w:r>
    </w:p>
    <w:p>
      <w:pPr>
        <w:pStyle w:val="BodyText"/>
      </w:pPr>
      <w:r>
        <w:t xml:space="preserve">Comisión Conjunta del sitio Ramsar CGSM. (2026, 2 de febrero).</w:t>
      </w:r>
      <w:r>
        <w:t xml:space="preserve"> </w:t>
      </w:r>
      <w:r>
        <w:rPr>
          <w:i/>
          <w:iCs/>
        </w:rPr>
        <w:t xml:space="preserve">Plan de Manejo Ambiental del sitio Ramsar Sistema Delta Estuarino del Río Magdalena, Ciénaga Grande de Santa Marta</w:t>
      </w:r>
      <w:r>
        <w:t xml:space="preserve"> </w:t>
      </w:r>
      <w: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t xml:space="preserve">Lu, B., Francescutto, L., Howie, S., Lin, H., Wu, Q., Hedley, N., Jamali, A., y McDonald, I. (2026). Exploring the concept of digital twins of wetlands for supporting ecosystem monitoring and management.</w:t>
      </w:r>
      <w:r>
        <w:t xml:space="preserve"> </w:t>
      </w:r>
      <w:r>
        <w:rPr>
          <w:i/>
          <w:iCs/>
        </w:rPr>
        <w:t xml:space="preserve">Big Earth Data</w:t>
      </w:r>
      <w:r>
        <w:t xml:space="preserve">,</w:t>
      </w:r>
      <w:r>
        <w:t xml:space="preserve"> </w:t>
      </w:r>
      <w:r>
        <w:rPr>
          <w:i/>
          <w:iCs/>
        </w:rPr>
        <w:t xml:space="preserve">10</w:t>
      </w:r>
      <w:r>
        <w:t xml:space="preserve">(1), 37–67. https://doi.org/10.1080/20964471.2025.2480446</w:t>
      </w:r>
    </w:p>
    <w:p>
      <w:pPr>
        <w:pStyle w:val="BodyText"/>
      </w:pPr>
      <w:r>
        <w:t xml:space="preserve">Murillo-Sandoval, P. J., Fatoyinbo, L., y Simard, M. (2022). Mangroves cover change trajectories 1984–2020: The gradual decrease of mangroves in Colombia.</w:t>
      </w:r>
      <w:r>
        <w:t xml:space="preserve"> </w:t>
      </w:r>
      <w:r>
        <w:rPr>
          <w:i/>
          <w:iCs/>
        </w:rPr>
        <w:t xml:space="preserve">Frontiers in Marine Science</w:t>
      </w:r>
      <w:r>
        <w:t xml:space="preserve">,</w:t>
      </w:r>
      <w:r>
        <w:t xml:space="preserve"> </w:t>
      </w:r>
      <w:r>
        <w:rPr>
          <w:i/>
          <w:iCs/>
        </w:rPr>
        <w:t xml:space="preserve">9</w:t>
      </w:r>
      <w:r>
        <w:t xml:space="preserve">, 892946. https://doi.org/10.3389/fmars.2022.892946</w:t>
      </w:r>
    </w:p>
    <w:p>
      <w:pPr>
        <w:pStyle w:val="BodyText"/>
      </w:pPr>
      <w:r>
        <w:t xml:space="preserve">Funk, C., Peterson, P., Landsfeld, M., Pedreros, D., Verdin, J., Shukla, S., Husak, G., Rowland, J., Harrison, L., Hoell, A., y Michaelsen, J. (2015). The climate hazards infrared precipitation with stations: a new environmental record for monitoring extremes.</w:t>
      </w:r>
      <w:r>
        <w:t xml:space="preserve"> </w:t>
      </w:r>
      <w:r>
        <w:rPr>
          <w:i/>
          <w:iCs/>
        </w:rPr>
        <w:t xml:space="preserve">Scientific Data</w:t>
      </w:r>
      <w:r>
        <w:t xml:space="preserve">,</w:t>
      </w:r>
      <w:r>
        <w:t xml:space="preserve"> </w:t>
      </w:r>
      <w:r>
        <w:rPr>
          <w:i/>
          <w:iCs/>
        </w:rPr>
        <w:t xml:space="preserve">2</w:t>
      </w:r>
      <w:r>
        <w:t xml:space="preserve">, 150066. https://doi.org/10.1038/sdata.2015.66</w:t>
      </w:r>
    </w:p>
    <w:p>
      <w:pPr>
        <w:pStyle w:val="BodyText"/>
      </w:pPr>
      <w:r>
        <w:t xml:space="preserve">Giri, C., Ochieng, E., Tieszen, L. L., Zhu, Z., Singh, A., Loveland, T., Masek, J., y Duke, N. (2011). Status and distribution of mangrove forests of the world using earth observation satellite data.</w:t>
      </w:r>
      <w:r>
        <w:t xml:space="preserve"> </w:t>
      </w:r>
      <w:r>
        <w:rPr>
          <w:i/>
          <w:iCs/>
        </w:rPr>
        <w:t xml:space="preserve">Global Ecology and Biogeography</w:t>
      </w:r>
      <w:r>
        <w:t xml:space="preserve">,</w:t>
      </w:r>
      <w:r>
        <w:t xml:space="preserve"> </w:t>
      </w:r>
      <w:r>
        <w:rPr>
          <w:i/>
          <w:iCs/>
        </w:rPr>
        <w:t xml:space="preserve">20</w:t>
      </w:r>
      <w:r>
        <w:t xml:space="preserve">(1), 154–159. https://doi.org/10.1111/j.1466-8238.2010.00584.x</w:t>
      </w:r>
    </w:p>
    <w:p>
      <w:pPr>
        <w:pStyle w:val="BodyText"/>
      </w:pPr>
      <w:r>
        <w:t xml:space="preserve">Goldberg, L., Lagomasino, D., Thomas, N., y Fatoyinbo, T. (2020). Global declines in human-driven mangrove loss.</w:t>
      </w:r>
      <w:r>
        <w:t xml:space="preserve"> </w:t>
      </w:r>
      <w:r>
        <w:rPr>
          <w:i/>
          <w:iCs/>
        </w:rPr>
        <w:t xml:space="preserve">Global Change Biology</w:t>
      </w:r>
      <w:r>
        <w:t xml:space="preserve">,</w:t>
      </w:r>
      <w:r>
        <w:t xml:space="preserve"> </w:t>
      </w:r>
      <w:r>
        <w:rPr>
          <w:i/>
          <w:iCs/>
        </w:rPr>
        <w:t xml:space="preserve">26</w:t>
      </w:r>
      <w:r>
        <w:t xml:space="preserve">(10), 5844–5855. https://doi.org/10.1111/gcb.15275</w:t>
      </w:r>
    </w:p>
    <w:p>
      <w:pPr>
        <w:pStyle w:val="BodyText"/>
      </w:pPr>
      <w:r>
        <w:t xml:space="preserve">Gomarasca, M. A. (2010).</w:t>
      </w:r>
      <w:r>
        <w:t xml:space="preserve"> </w:t>
      </w:r>
      <w:r>
        <w:rPr>
          <w:i/>
          <w:iCs/>
        </w:rPr>
        <w:t xml:space="preserve">Basics of geomatics</w:t>
      </w:r>
      <w:r>
        <w:t xml:space="preserve">. Applied Geomatics, 2(3), 137–146. https://doi.org/10.1007/s12518-010-0029-6</w:t>
      </w:r>
    </w:p>
    <w:p>
      <w:pPr>
        <w:pStyle w:val="BodyText"/>
      </w:pPr>
      <w:r>
        <w:t xml:space="preserve">Gupta, K., Mukhopadhyay, A., Giri, S., Chanda, A., Datta Majumdar, S., Samanta, S., Mitra, D., Samal, R. N., Pattnaik, A. K., y Hazra, S. (2018). An index for discrimination of mangroves from non-mangroves using LANDSAT 8 OLI imagery.</w:t>
      </w:r>
      <w:r>
        <w:t xml:space="preserve"> </w:t>
      </w:r>
      <w:r>
        <w:rPr>
          <w:i/>
          <w:iCs/>
        </w:rPr>
        <w:t xml:space="preserve">MethodsX</w:t>
      </w:r>
      <w:r>
        <w:t xml:space="preserve">,</w:t>
      </w:r>
      <w:r>
        <w:t xml:space="preserve"> </w:t>
      </w:r>
      <w:r>
        <w:rPr>
          <w:i/>
          <w:iCs/>
        </w:rPr>
        <w:t xml:space="preserve">5</w:t>
      </w:r>
      <w:r>
        <w:t xml:space="preserve">, 1129–1139. https://doi.org/10.1016/j.mex.2018.09.011</w:t>
      </w:r>
    </w:p>
    <w:p>
      <w:pPr>
        <w:pStyle w:val="BodyText"/>
      </w:pPr>
      <w:r>
        <w:t xml:space="preserve">Hamilton, S. E., y Casey, D. (2016). Creation of a high spatio-temporal resolution global database of continuous mangrove forest cover for the 21st century (CGMFC-21).</w:t>
      </w:r>
      <w:r>
        <w:t xml:space="preserve"> </w:t>
      </w:r>
      <w:r>
        <w:rPr>
          <w:i/>
          <w:iCs/>
        </w:rPr>
        <w:t xml:space="preserve">Global Ecology and Biogeography</w:t>
      </w:r>
      <w:r>
        <w:t xml:space="preserve">,</w:t>
      </w:r>
      <w:r>
        <w:t xml:space="preserve"> </w:t>
      </w:r>
      <w:r>
        <w:rPr>
          <w:i/>
          <w:iCs/>
        </w:rPr>
        <w:t xml:space="preserve">25</w:t>
      </w:r>
      <w:r>
        <w:t xml:space="preserve">(6), 729–738. https://doi.org/10.1111/geb.12449</w:t>
      </w:r>
    </w:p>
    <w:p>
      <w:pPr>
        <w:pStyle w:val="BodyText"/>
      </w:pPr>
      <w:r>
        <w:t xml:space="preserve">Hersbach, H., Bell, B., Berrisford, P., Hirahara, S., Horányi, A., Muñoz-Sabater, J., Nicolas, J., Peubey, C., Radu, R., Schepers, D., Simmons, A., Soci, C., Abdalla, S., Abellan, X., Balsamo, G., Bechtold, P., Biavati, G., Bidlot, J., Bonavita, M., … Thépaut, J.-N. (2020). The ERA5 global reanalysis.</w:t>
      </w:r>
      <w:r>
        <w:t xml:space="preserve"> </w:t>
      </w:r>
      <w:r>
        <w:rPr>
          <w:i/>
          <w:iCs/>
        </w:rPr>
        <w:t xml:space="preserve">Quarterly Journal of the Royal Meteorológical Society</w:t>
      </w:r>
      <w:r>
        <w:t xml:space="preserve">,</w:t>
      </w:r>
      <w:r>
        <w:t xml:space="preserve"> </w:t>
      </w:r>
      <w:r>
        <w:rPr>
          <w:i/>
          <w:iCs/>
        </w:rPr>
        <w:t xml:space="preserve">146</w:t>
      </w:r>
      <w:r>
        <w:t xml:space="preserve">(730), 1999–2049. https://doi.org/10.1002/qj.3803</w:t>
      </w:r>
    </w:p>
    <w:p>
      <w:pPr>
        <w:pStyle w:val="BodyText"/>
      </w:pPr>
      <w:r>
        <w:t xml:space="preserve">Instituto de Hidrología, Meteorología y Estudios Ambientales. (2026).</w:t>
      </w:r>
      <w:r>
        <w:t xml:space="preserve"> </w:t>
      </w:r>
      <w:r>
        <w:rPr>
          <w:i/>
          <w:iCs/>
        </w:rPr>
        <w:t xml:space="preserve">Series de caudal mensual del río Magdalena en El Banco (estación 25027020) y del río Aracataca en Ganadería Caribe (estación 29067150)</w:t>
      </w:r>
      <w:r>
        <w:t xml:space="preserve"> </w:t>
      </w:r>
      <w:r>
        <w:t xml:space="preserve">[Conjuntos de datos]. Portal DHIME. https://dhime.ideam.gov.co/</w:t>
      </w:r>
    </w:p>
    <w:p>
      <w:pPr>
        <w:pStyle w:val="BodyText"/>
      </w:pPr>
      <w:r>
        <w:t xml:space="preserve">Instituto de Investigaciones Marinas y Costeras. (2020).</w:t>
      </w:r>
      <w:r>
        <w:t xml:space="preserve"> </w:t>
      </w:r>
      <w:r>
        <w:rPr>
          <w:i/>
          <w:iCs/>
        </w:rPr>
        <w:t xml:space="preserve">Cartografía de manglares de Colombia a escala 1:25.000 para Caribe y Pacífico</w:t>
      </w:r>
      <w:r>
        <w:t xml:space="preserve">. Procesamiento digital de imágenes en Google Earth Engine.</w:t>
      </w:r>
    </w:p>
    <w:p>
      <w:pPr>
        <w:pStyle w:val="BodyText"/>
      </w:pPr>
      <w:r>
        <w:t xml:space="preserve">Instituto de Investigaciones Marinas y Costeras. (2024).</w:t>
      </w:r>
      <w:r>
        <w:t xml:space="preserve"> </w:t>
      </w:r>
      <w:r>
        <w:rPr>
          <w:i/>
          <w:iCs/>
        </w:rPr>
        <w:t xml:space="preserve">Monitoreo de las condiciones ambientales y los cambios estructurales y funciónales de las comunidades vegetales y de los recursos pesqueros durante la rehabilitación de la Ciénaga Grande de Santa Marta. Informe técnico final</w:t>
      </w:r>
      <w:r>
        <w:t xml:space="preserve"> </w:t>
      </w:r>
      <w:r>
        <w:t xml:space="preserve">(Vol. 23). https://www.invemar.org.co/inf-cgsm</w:t>
      </w:r>
    </w:p>
    <w:p>
      <w:pPr>
        <w:pStyle w:val="BodyText"/>
      </w:pPr>
      <w:r>
        <w:t xml:space="preserve">Kirillov, A., Mintun, E., Ravi, N., Mao, H., Rolland, C., Gustafson, L., Xiao, T., Whitehead, S., Berg, A. C., Lo, W.-Y., Dollár, P., y Girshick, R. (2023). Segment anything.</w:t>
      </w:r>
      <w:r>
        <w:t xml:space="preserve"> </w:t>
      </w:r>
      <w:r>
        <w:rPr>
          <w:i/>
          <w:iCs/>
        </w:rPr>
        <w:t xml:space="preserve">arXiv</w:t>
      </w:r>
      <w:r>
        <w:t xml:space="preserve">. https://doi.org/10.48550/arXiv.2304.02643</w:t>
      </w:r>
    </w:p>
    <w:p>
      <w:pPr>
        <w:pStyle w:val="BodyText"/>
      </w:pPr>
      <w:r>
        <w:t xml:space="preserve">National Oceanic and Atmospheric Administration, Climate Prediction Center. (2026).</w:t>
      </w:r>
      <w:r>
        <w:t xml:space="preserve"> </w:t>
      </w:r>
      <w:r>
        <w:rPr>
          <w:i/>
          <w:iCs/>
        </w:rPr>
        <w:t xml:space="preserve">Oceanic Niño Index (ONI) y Southern Oscillation Index (SOI)</w:t>
      </w:r>
      <w:r>
        <w:t xml:space="preserve"> </w:t>
      </w:r>
      <w:r>
        <w:t xml:space="preserve">[Conjuntos de datos]. https://www.cpc.ncep.noaa.gov/data/indices/</w:t>
      </w:r>
    </w:p>
    <w:p>
      <w:pPr>
        <w:pStyle w:val="BodyText"/>
      </w:pPr>
      <w:r>
        <w:t xml:space="preserve">Olofsson, P., Foody, G. M., Herold, M., Stehman, S. V., Woodcock, C. E., y Wulder, M. A. (2014). Good práctices for estimating área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 https://doi.org/10.1016/j.rse.2014.02.015</w:t>
      </w:r>
    </w:p>
    <w:p>
      <w:pPr>
        <w:pStyle w:val="BodyText"/>
      </w:pPr>
      <w:r>
        <w:t xml:space="preserve">Raza, S., Zhang, J., Zuo, S., y Chen, J. (2024). Time series monitoring and analysis of Pakistán’s mangrove using Sentinel-2 data.</w:t>
      </w:r>
      <w:r>
        <w:t xml:space="preserve"> </w:t>
      </w:r>
      <w:r>
        <w:rPr>
          <w:i/>
          <w:iCs/>
        </w:rPr>
        <w:t xml:space="preserve">Frontiers in Environmental Science</w:t>
      </w:r>
      <w:r>
        <w:t xml:space="preserve">,</w:t>
      </w:r>
      <w:r>
        <w:t xml:space="preserve"> </w:t>
      </w:r>
      <w:r>
        <w:rPr>
          <w:i/>
          <w:iCs/>
        </w:rPr>
        <w:t xml:space="preserve">12</w:t>
      </w:r>
      <w:r>
        <w:t xml:space="preserve">, 1416450. https://doi.org/10.3389/fenvs.2024.1416450</w:t>
      </w:r>
    </w:p>
    <w:p>
      <w:pPr>
        <w:pStyle w:val="BodyText"/>
      </w:pPr>
      <w:r>
        <w:t xml:space="preserve">Selvaraj, J. J., y Gallego-Pérez, J. (2023). An enhanced approach to mangrove forest analysis in the Colombian Pacific coast using óptical and SAR data in Google Earth Engine.</w:t>
      </w:r>
      <w:r>
        <w:t xml:space="preserve"> </w:t>
      </w:r>
      <w:r>
        <w:rPr>
          <w:i/>
          <w:iCs/>
        </w:rPr>
        <w:t xml:space="preserve">Remote Sensing Applications: Society and Environment</w:t>
      </w:r>
      <w:r>
        <w:t xml:space="preserve">,</w:t>
      </w:r>
      <w:r>
        <w:t xml:space="preserve"> </w:t>
      </w:r>
      <w:r>
        <w:rPr>
          <w:i/>
          <w:iCs/>
        </w:rPr>
        <w:t xml:space="preserve">30</w:t>
      </w:r>
      <w:r>
        <w:t xml:space="preserve">, 100938. https://doi.org/10.1016/j.rsase.2023.100938</w:t>
      </w:r>
    </w:p>
    <w:p>
      <w:pPr>
        <w:pStyle w:val="BodyText"/>
      </w:pPr>
      <w:r>
        <w:t xml:space="preserve">Vinasco, J. S., Rodríguez, D. A., Velásquez, S., Quintero, D. F., Livni, L. R., y Hernández, F. L. (2020). Coverage changes detection at Ciénaga Grande, Santa Marta – Colombia using automátic classification.</w:t>
      </w:r>
      <w:r>
        <w:t xml:space="preserve"> </w:t>
      </w:r>
      <w:r>
        <w:rPr>
          <w:i/>
          <w:iCs/>
        </w:rPr>
        <w:t xml:space="preserve">The International Archives of the Photogrammetry, Remote Sensing and Spatial Information Sciences</w:t>
      </w:r>
      <w:r>
        <w:t xml:space="preserve">,</w:t>
      </w:r>
      <w:r>
        <w:t xml:space="preserve"> </w:t>
      </w:r>
      <w:r>
        <w:rPr>
          <w:i/>
          <w:iCs/>
        </w:rPr>
        <w:t xml:space="preserve">XLII-3/W12-2020</w:t>
      </w:r>
      <w:r>
        <w:t xml:space="preserve">, 195–200. https://doi.org/10.5194/isprs-archives-XLII-3-W12-2020-195-2020</w:t>
      </w:r>
    </w:p>
    <w:p>
      <w:pPr>
        <w:pStyle w:val="BodyText"/>
      </w:pPr>
      <w:r>
        <w:t xml:space="preserve">Wu, Q., y Osco, L.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https://doi.org/10.21105/joss.05663</w:t>
      </w:r>
    </w:p>
    <w:p>
      <w:pPr>
        <w:pStyle w:val="BodyText"/>
      </w:pPr>
      <w:r>
        <w:t xml:space="preserve">Yancho, J. M. M., Jones, T. G., Gandhi, S. R., Ferster, C., Lin, A., y Glass, L. (2020). The Google Earth Engine Mangrove Mapping Methodology (GEEMMM).</w:t>
      </w:r>
      <w:r>
        <w:t xml:space="preserve"> </w:t>
      </w:r>
      <w:r>
        <w:rPr>
          <w:i/>
          <w:iCs/>
        </w:rPr>
        <w:t xml:space="preserve">Remote Sensing</w:t>
      </w:r>
      <w:r>
        <w:t xml:space="preserve">,</w:t>
      </w:r>
      <w:r>
        <w:t xml:space="preserve"> </w:t>
      </w:r>
      <w:r>
        <w:rPr>
          <w:i/>
          <w:iCs/>
        </w:rPr>
        <w:t xml:space="preserve">12</w:t>
      </w:r>
      <w:r>
        <w:t xml:space="preserve">(22), 3758. https://doi.org/10.3390/rs12223758</w:t>
      </w:r>
    </w:p>
    <w:p>
      <w:pPr>
        <w:pStyle w:val="BodyText"/>
      </w:pPr>
      <w:r>
        <w:t xml:space="preserve">Zanaga, D., Van De Kerchove, R., Daems, D., De Keersmaecker, W., Brockmann, C., Kirches, G., Wevers, J., Cartus, O., Santoro, M., Fritz, S., Lesiv, M., Herold, M., Tsendbazar, N.-E., Xu, P., Ramoino, F., y Arino, O. (2022).</w:t>
      </w:r>
      <w:r>
        <w:t xml:space="preserve"> </w:t>
      </w:r>
      <w:r>
        <w:rPr>
          <w:i/>
          <w:iCs/>
        </w:rPr>
        <w:t xml:space="preserve">ESA WorldCover 10 m 2021 v200</w:t>
      </w:r>
      <w:r>
        <w:t xml:space="preserve">. Zenodo. https://doi.org/10.5281/zenodo.7254221</w:t>
      </w:r>
    </w:p>
    <w:bookmarkEnd w:id="137"/>
    <w:bookmarkStart w:id="138" w:name="anexo-a-configuracion-del-entorno-docker"/>
    <w:p>
      <w:pPr>
        <w:pStyle w:val="Heading1"/>
      </w:pPr>
      <w:r>
        <w:t xml:space="preserve">12. Anexo A: Configuracion del entorno Docker</w:t>
      </w:r>
    </w:p>
    <w:p>
      <w:pPr>
        <w:pStyle w:val="FirstParagraph"/>
      </w:pPr>
      <w:r>
        <w:t xml:space="preserve">El proyecto se ejecuta sobre el contenedor Docker sig_unal v1.11 proporcionado para la asignatura, con las siguientes modificaciones:</w:t>
      </w:r>
    </w:p>
    <w:p>
      <w:pPr>
        <w:pStyle w:val="SourceCode"/>
      </w:pPr>
      <w:r>
        <w:rPr>
          <w:rStyle w:val="CommentTok"/>
        </w:rPr>
        <w:t xml:space="preserve"># Librerias Python adicionales instaladas</w:t>
      </w:r>
      <w:r>
        <w:br/>
      </w:r>
      <w:r>
        <w:rPr>
          <w:rStyle w:val="ExtensionTok"/>
        </w:rPr>
        <w:t xml:space="preserve">pip</w:t>
      </w:r>
      <w:r>
        <w:rPr>
          <w:rStyle w:val="NormalTok"/>
        </w:rPr>
        <w:t xml:space="preserve"> install earthengine-api geemap segment-geospatial leafmap</w:t>
      </w:r>
      <w:r>
        <w:br/>
      </w:r>
      <w:r>
        <w:rPr>
          <w:rStyle w:val="ExtensionTok"/>
        </w:rPr>
        <w:t xml:space="preserve">pip</w:t>
      </w:r>
      <w:r>
        <w:rPr>
          <w:rStyle w:val="NormalTok"/>
        </w:rPr>
        <w:t xml:space="preserve"> install rasterio geopandas xarray shapely folium rasterstats</w:t>
      </w:r>
      <w:r>
        <w:br/>
      </w:r>
      <w:r>
        <w:rPr>
          <w:rStyle w:val="ExtensionTok"/>
        </w:rPr>
        <w:t xml:space="preserve">pip</w:t>
      </w:r>
      <w:r>
        <w:rPr>
          <w:rStyle w:val="NormalTok"/>
        </w:rPr>
        <w:t xml:space="preserve"> install matplotlib pandas numpy scikit-learn contextily</w:t>
      </w:r>
      <w:r>
        <w:br/>
      </w:r>
      <w:r>
        <w:rPr>
          <w:rStyle w:val="ExtensionTok"/>
        </w:rPr>
        <w:t xml:space="preserve">pip</w:t>
      </w:r>
      <w:r>
        <w:rPr>
          <w:rStyle w:val="NormalTok"/>
        </w:rPr>
        <w:t xml:space="preserve"> install cdsapi netCDF4              </w:t>
      </w:r>
      <w:r>
        <w:rPr>
          <w:rStyle w:val="CommentTok"/>
        </w:rPr>
        <w:t xml:space="preserve"># descarga ERA5-Land desde CDS</w:t>
      </w:r>
      <w:r>
        <w:br/>
      </w:r>
      <w:r>
        <w:br/>
      </w:r>
      <w:r>
        <w:rPr>
          <w:rStyle w:val="CommentTok"/>
        </w:rPr>
        <w:t xml:space="preserve"># Autenticacion Google Earth Engine</w:t>
      </w:r>
      <w:r>
        <w:br/>
      </w:r>
      <w:r>
        <w:rPr>
          <w:rStyle w:val="ExtensionTok"/>
        </w:rPr>
        <w:t xml:space="preserve">earthengine</w:t>
      </w:r>
      <w:r>
        <w:rPr>
          <w:rStyle w:val="NormalTok"/>
        </w:rPr>
        <w:t xml:space="preserve"> authenticate </w:t>
      </w:r>
      <w:r>
        <w:rPr>
          <w:rStyle w:val="AttributeTok"/>
        </w:rPr>
        <w:t xml:space="preserve">--auth_mode</w:t>
      </w:r>
      <w:r>
        <w:rPr>
          <w:rStyle w:val="OperatorTok"/>
        </w:rPr>
        <w:t xml:space="preserve">=</w:t>
      </w:r>
      <w:r>
        <w:rPr>
          <w:rStyle w:val="NormalTok"/>
        </w:rPr>
        <w:t xml:space="preserve">notebook</w:t>
      </w:r>
      <w:r>
        <w:br/>
      </w:r>
      <w:r>
        <w:br/>
      </w:r>
      <w:r>
        <w:rPr>
          <w:rStyle w:val="CommentTok"/>
        </w:rPr>
        <w:t xml:space="preserve"># Autenticacion Climate Data Store (ECMWF) — para ERA5-Land</w:t>
      </w:r>
      <w:r>
        <w:br/>
      </w:r>
      <w:r>
        <w:rPr>
          <w:rStyle w:val="CommentTok"/>
        </w:rPr>
        <w:t xml:space="preserve"># 1) Crear cuenta en https://cds.climate.copernicus.eu/</w:t>
      </w:r>
      <w:r>
        <w:br/>
      </w:r>
      <w:r>
        <w:rPr>
          <w:rStyle w:val="CommentTok"/>
        </w:rPr>
        <w:t xml:space="preserve"># 2) Aceptar terminos del dataset reanalysis-era5-land-monthly-means</w:t>
      </w:r>
      <w:r>
        <w:br/>
      </w:r>
      <w:r>
        <w:rPr>
          <w:rStyle w:val="CommentTok"/>
        </w:rPr>
        <w:t xml:space="preserve"># 3) Crear archivo ~/.cdsapirc con la URL y la API key personales</w:t>
      </w:r>
    </w:p>
    <w:p>
      <w:pPr>
        <w:pStyle w:val="SourceCode"/>
      </w:pPr>
      <w:r>
        <w:rPr>
          <w:rStyle w:val="CommentTok"/>
        </w:rPr>
        <w:t xml:space="preserve"># Paquetes R adicionales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"bfast"</w:t>
      </w:r>
      <w:r>
        <w:rPr>
          <w:rStyle w:val="NormalTok"/>
        </w:rPr>
        <w:t xml:space="preserve">, </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"ggplot2"</w:t>
      </w:r>
      <w:r>
        <w:rPr>
          <w:rStyle w:val="NormalTok"/>
        </w:rPr>
        <w:t xml:space="preserve">, </w:t>
      </w:r>
      <w:r>
        <w:rPr>
          <w:rStyle w:val="StringTok"/>
        </w:rPr>
        <w:t xml:space="preserve">"tseries"</w:t>
      </w:r>
      <w:r>
        <w:rPr>
          <w:rStyle w:val="NormalTok"/>
        </w:rPr>
        <w:t xml:space="preserve">,</w:t>
      </w:r>
      <w:r>
        <w:br/>
      </w:r>
      <w:r>
        <w:rPr>
          <w:rStyle w:val="NormalTok"/>
        </w:rPr>
        <w:t xml:space="preserve">                   </w:t>
      </w:r>
      <w:r>
        <w:rPr>
          <w:rStyle w:val="StringTok"/>
        </w:rPr>
        <w:t xml:space="preserve">"stars"</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StringTok"/>
        </w:rPr>
        <w:t xml:space="preserve">"stringr"</w:t>
      </w:r>
      <w:r>
        <w:rPr>
          <w:rStyle w:val="NormalTok"/>
        </w:rPr>
        <w:t xml:space="preserve">))</w:t>
      </w:r>
    </w:p>
    <w:p>
      <w:pPr>
        <w:pStyle w:val="SourceCode"/>
      </w:pPr>
      <w:r>
        <w:rPr>
          <w:rStyle w:val="CommentTok"/>
        </w:rPr>
        <w:t xml:space="preserve"># Paquetes Julia adicionales</w:t>
      </w:r>
      <w:r>
        <w:br/>
      </w:r>
      <w:r>
        <w:rPr>
          <w:rStyle w:val="ImportTok"/>
        </w:rPr>
        <w:t xml:space="preserve">using</w:t>
      </w:r>
      <w:r>
        <w:rPr>
          <w:rStyle w:val="NormalTok"/>
        </w:rPr>
        <w:t xml:space="preserve"> </w:t>
      </w:r>
      <w:r>
        <w:rPr>
          <w:rStyle w:val="BuiltInTok"/>
        </w:rPr>
        <w:t xml:space="preserve">Pkg</w:t>
      </w:r>
      <w:r>
        <w:br/>
      </w:r>
      <w:r>
        <w:rPr>
          <w:rStyle w:val="BuiltInTok"/>
        </w:rPr>
        <w:t xml:space="preserve">Pkg</w:t>
      </w:r>
      <w:r>
        <w:rPr>
          <w:rStyle w:val="NormalTok"/>
        </w:rPr>
        <w:t xml:space="preserve">.</w:t>
      </w:r>
      <w:r>
        <w:rPr>
          <w:rStyle w:val="FunctionTok"/>
        </w:rPr>
        <w:t xml:space="preserve">add</w:t>
      </w:r>
      <w:r>
        <w:rPr>
          <w:rStyle w:val="NormalTok"/>
        </w:rPr>
        <w:t xml:space="preserve">([</w:t>
      </w:r>
      <w:r>
        <w:rPr>
          <w:rStyle w:val="StringTok"/>
        </w:rPr>
        <w:t xml:space="preserve">"GeoJSON"</w:t>
      </w:r>
      <w:r>
        <w:rPr>
          <w:rStyle w:val="NormalTok"/>
        </w:rPr>
        <w:t xml:space="preserve">, </w:t>
      </w:r>
      <w:r>
        <w:rPr>
          <w:rStyle w:val="StringTok"/>
        </w:rPr>
        <w:t xml:space="preserve">"DataFrames"</w:t>
      </w:r>
      <w:r>
        <w:rPr>
          <w:rStyle w:val="NormalTok"/>
        </w:rPr>
        <w:t xml:space="preserve">, </w:t>
      </w:r>
      <w:r>
        <w:rPr>
          <w:rStyle w:val="StringTok"/>
        </w:rPr>
        <w:t xml:space="preserve">"CSV"</w:t>
      </w:r>
      <w:r>
        <w:rPr>
          <w:rStyle w:val="NormalTok"/>
        </w:rPr>
        <w:t xml:space="preserve">, </w:t>
      </w:r>
      <w:r>
        <w:rPr>
          <w:rStyle w:val="StringTok"/>
        </w:rPr>
        <w:t xml:space="preserve">"Statistics"</w:t>
      </w:r>
      <w:r>
        <w:rPr>
          <w:rStyle w:val="NormalTok"/>
        </w:rPr>
        <w:t xml:space="preserve">])</w:t>
      </w:r>
    </w:p>
    <w:p>
      <w:pPr>
        <w:pStyle w:val="FirstParagraph"/>
      </w:pPr>
      <w:r>
        <w:t xml:space="preserve">La autenticación con GEE se realiza mediante el flujo</w:t>
      </w:r>
      <w:r>
        <w:t xml:space="preserve"> </w:t>
      </w:r>
      <w:r>
        <w:rPr>
          <w:rStyle w:val="VerbatimChar"/>
        </w:rPr>
        <w:t xml:space="preserve">gcloud auth application-default login</w:t>
      </w:r>
      <w:r>
        <w:t xml:space="preserve"> </w:t>
      </w:r>
      <w:r>
        <w:t xml:space="preserve">con quota project configurado, que genera credenciales almacenadas en</w:t>
      </w:r>
      <w:r>
        <w:t xml:space="preserve"> </w:t>
      </w:r>
      <w:r>
        <w:rPr>
          <w:rStyle w:val="VerbatimChar"/>
        </w:rPr>
        <w:t xml:space="preserve">~/.config/gcloud/application_default_credentials.json</w:t>
      </w:r>
      <w: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138"/>
    <w:bookmarkStart w:id="140" w:name="Xc24797d2ff112451820a4d3c0739401ffa520c7"/>
    <w:p>
      <w:pPr>
        <w:pStyle w:val="Heading1"/>
      </w:pPr>
      <w:r>
        <w:t xml:space="preserve">13. Anexo B: Estructura del repositorio GitHub</w:t>
      </w:r>
    </w:p>
    <w:p>
      <w:pPr>
        <w:pStyle w:val="FirstParagraph"/>
      </w:pPr>
      <w:r>
        <w:t xml:space="preserve">El repositorio público está disponible en</w:t>
      </w:r>
      <w:r>
        <w:t xml:space="preserve"> </w:t>
      </w:r>
      <w:hyperlink r:id="rId20">
        <w:r>
          <w:rPr>
            <w:rStyle w:val="Hyperlink"/>
          </w:rPr>
          <w:t xml:space="preserve">https://github.com/linaq11/proyecto-cgsm-curso</w:t>
        </w:r>
      </w:hyperlink>
      <w:r>
        <w:t xml:space="preserve"> </w:t>
      </w:r>
      <w:r>
        <w:t xml:space="preserve">bajo licencia MIT. La versión anterior del proyecto (baseline marzo 2026 sobre AOI envolvente de 5.073 km²) permanece archivada en</w:t>
      </w:r>
      <w:r>
        <w:t xml:space="preserve"> </w:t>
      </w:r>
      <w:hyperlink r:id="rId139">
        <w:r>
          <w:rPr>
            <w:rStyle w:val="Hyperlink"/>
          </w:rPr>
          <w:t xml:space="preserve">https://github.com/LinaQuinteroF/proyecto-cgsm</w:t>
        </w:r>
      </w:hyperlink>
      <w:r>
        <w:t xml:space="preserve"> </w:t>
      </w:r>
      <w:r>
        <w:t xml:space="preserve">para fines de comparación histórica.</w:t>
      </w:r>
    </w:p>
    <w:p>
      <w:pPr>
        <w:pStyle w:val="SourceCode"/>
      </w:pPr>
      <w:r>
        <w:rPr>
          <w:rStyle w:val="VerbatimChar"/>
        </w:rPr>
        <w:t xml:space="preserve">proyecto-cgsm-curso/</w:t>
      </w:r>
      <w:r>
        <w:br/>
      </w:r>
      <w:r>
        <w:rPr>
          <w:rStyle w:val="VerbatimChar"/>
        </w:rPr>
        <w:t xml:space="preserve">├── notebooks/        29 notebooks numerados (vigente 01-12 + legacy 03_…14)</w:t>
      </w:r>
      <w:r>
        <w:br/>
      </w:r>
      <w:r>
        <w:rPr>
          <w:rStyle w:val="VerbatimChar"/>
        </w:rPr>
        <w:t xml:space="preserve">│                     orden de ejecución: 01 → 02 → 02b → 03_acotado →</w:t>
      </w:r>
      <w:r>
        <w:br/>
      </w:r>
      <w:r>
        <w:rPr>
          <w:rStyle w:val="VerbatimChar"/>
        </w:rPr>
        <w:t xml:space="preserve">│                     04_acotado → 04b_acotado → 05_acotado → 07 → 08 →</w:t>
      </w:r>
      <w:r>
        <w:br/>
      </w:r>
      <w:r>
        <w:rPr>
          <w:rStyle w:val="VerbatimChar"/>
        </w:rPr>
        <w:t xml:space="preserve">│                     09b → 10 → 11 → 11b → 12 → 12b → 12c → 13 → 14</w:t>
      </w:r>
      <w:r>
        <w:br/>
      </w:r>
      <w:r>
        <w:rPr>
          <w:rStyle w:val="VerbatimChar"/>
        </w:rPr>
        <w:t xml:space="preserve">├── src/</w:t>
      </w:r>
      <w:r>
        <w:br/>
      </w:r>
      <w:r>
        <w:rPr>
          <w:rStyle w:val="VerbatimChar"/>
        </w:rPr>
        <w:t xml:space="preserve">│   ├── python/       utils.py (9377 + DE-9IM), aoi_acotado.py, build_cubos.py,</w:t>
      </w:r>
      <w:r>
        <w:br/>
      </w:r>
      <w:r>
        <w:rPr>
          <w:rStyle w:val="VerbatimChar"/>
        </w:rPr>
        <w:t xml:space="preserve">│   │                 make_dashboard_html.py, alertas_manglar.py, merge_cubo.py</w:t>
      </w:r>
      <w:r>
        <w:br/>
      </w:r>
      <w:r>
        <w:rPr>
          <w:rStyle w:val="VerbatimChar"/>
        </w:rPr>
        <w:t xml:space="preserve">│   ├── R/            03_bfast_ndvi.R, 05_stars_cubo.R, 06_bfast_manglar_unificado.R,</w:t>
      </w:r>
      <w:r>
        <w:br/>
      </w:r>
      <w:r>
        <w:rPr>
          <w:rStyle w:val="VerbatimChar"/>
        </w:rPr>
        <w:t xml:space="preserve">│   │                 08_correlacion_trilingual.R</w:t>
      </w:r>
      <w:r>
        <w:br/>
      </w:r>
      <w:r>
        <w:rPr>
          <w:rStyle w:val="VerbatimChar"/>
        </w:rPr>
        <w:t xml:space="preserve">│   └── julia/        04_fragmentacion.jl (4326 legado + 9377 vigente),</w:t>
      </w:r>
      <w:r>
        <w:br/>
      </w:r>
      <w:r>
        <w:rPr>
          <w:rStyle w:val="VerbatimChar"/>
        </w:rPr>
        <w:t xml:space="preserve">│                     05_correlacion_trilingual.jl</w:t>
      </w:r>
      <w:r>
        <w:br/>
      </w:r>
      <w:r>
        <w:rPr>
          <w:rStyle w:val="VerbatimChar"/>
        </w:rPr>
        <w:t xml:space="preserve">├── data/</w:t>
      </w:r>
      <w:r>
        <w:br/>
      </w:r>
      <w:r>
        <w:rPr>
          <w:rStyle w:val="VerbatimChar"/>
        </w:rPr>
        <w:t xml:space="preserve">│   ├── raw/          AOI envolvente y acotado, RUNAP SFF + VPI, INVEMAR GBIF,</w:t>
      </w:r>
      <w:r>
        <w:br/>
      </w:r>
      <w:r>
        <w:rPr>
          <w:rStyle w:val="VerbatimChar"/>
        </w:rPr>
        <w:t xml:space="preserve">│   │                 IDEAM El Banco / Ganadería Caribe</w:t>
      </w:r>
      <w:r>
        <w:br/>
      </w:r>
      <w:r>
        <w:rPr>
          <w:rStyle w:val="VerbatimChar"/>
        </w:rPr>
        <w:t xml:space="preserve">│   └── processed/</w:t>
      </w:r>
      <w:r>
        <w:br/>
      </w:r>
      <w:r>
        <w:rPr>
          <w:rStyle w:val="VerbatimChar"/>
        </w:rPr>
        <w:t xml:space="preserve">│       ├── cubo/     3 datacubes NetCDF CF-1.8 (40 / 275 / 119 MB)</w:t>
      </w:r>
      <w:r>
        <w:br/>
      </w:r>
      <w:r>
        <w:rPr>
          <w:rStyle w:val="VerbatimChar"/>
        </w:rPr>
        <w:t xml:space="preserve">│       └── samgeo/   máscaras y GeoJSON por periodo (degradación / recuperación / actual)</w:t>
      </w:r>
      <w:r>
        <w:br/>
      </w:r>
      <w:r>
        <w:rPr>
          <w:rStyle w:val="VerbatimChar"/>
        </w:rPr>
        <w:t xml:space="preserve">├── outputs/</w:t>
      </w:r>
      <w:r>
        <w:br/>
      </w:r>
      <w:r>
        <w:rPr>
          <w:rStyle w:val="VerbatimChar"/>
        </w:rPr>
        <w:t xml:space="preserve">│   ├── tables/       47 CSV con resultados numéricos</w:t>
      </w:r>
      <w:r>
        <w:br/>
      </w:r>
      <w:r>
        <w:rPr>
          <w:rStyle w:val="VerbatimChar"/>
        </w:rPr>
        <w:t xml:space="preserve">│   ├── figures/      35 PNG (mapas, series, correlaciones, validación, alertas)</w:t>
      </w:r>
      <w:r>
        <w:br/>
      </w:r>
      <w:r>
        <w:rPr>
          <w:rStyle w:val="VerbatimChar"/>
        </w:rPr>
        <w:t xml:space="preserve">│   └── maps/         dashboard_CGSM_final.html (autocontenido, ~80 KB)</w:t>
      </w:r>
      <w:r>
        <w:br/>
      </w:r>
      <w:r>
        <w:rPr>
          <w:rStyle w:val="VerbatimChar"/>
        </w:rPr>
        <w:t xml:space="preserve">└── docs/             informe_final.{qmd,html,pdf}, articulo_cgsm_journal.*,</w:t>
      </w:r>
      <w:r>
        <w:br/>
      </w:r>
      <w:r>
        <w:rPr>
          <w:rStyle w:val="VerbatimChar"/>
        </w:rPr>
        <w:t xml:space="preserve">                      dashboard.html (Pages), outputs/{figures,maps}/ (Pages)</w:t>
      </w:r>
    </w:p>
    <w:p>
      <w:pPr>
        <w:pStyle w:val="FirstParagraph"/>
      </w:pPr>
      <w:r>
        <w:t xml:space="preserve">La serie</w:t>
      </w:r>
      <w:r>
        <w:t xml:space="preserve"> </w:t>
      </w:r>
      <w:r>
        <w:rPr>
          <w:b/>
          <w:bCs/>
        </w:rPr>
        <w:t xml:space="preserve">vigente</w:t>
      </w:r>
      <w:r>
        <w:t xml:space="preserve"> </w:t>
      </w:r>
      <w:r>
        <w:t xml:space="preserve">(notebooks 01–12 + 02b, 04b/c_acotado, 09b, 11b, 12b/c, 14) reproduce las cifras del cuerpo del informe sobre el AOI acotado de 835 km². La serie</w:t>
      </w:r>
      <w:r>
        <w:t xml:space="preserve"> </w:t>
      </w:r>
      <w:r>
        <w:rPr>
          <w:b/>
          <w:bCs/>
        </w:rPr>
        <w:t xml:space="preserve">legacy</w:t>
      </w:r>
      <w:r>
        <w:t xml:space="preserve"> </w:t>
      </w:r>
      <w: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t xml:space="preserve"> </w:t>
      </w:r>
      <w:r>
        <w:rPr>
          <w:rStyle w:val="VerbatimChar"/>
        </w:rPr>
        <w:t xml:space="preserve">notebooks/README.md</w:t>
      </w:r>
      <w:r>
        <w:t xml:space="preserve">. Los composites trimestrales y anuales en GeoTIFF y los NetCDF de mayor tamaño no se versionan por restricciones de tamaño de GitHub: se regeneran ejecutando los notebooks en orden secuencial con acceso autenticado a GEE.</w:t>
      </w:r>
    </w:p>
    <w:bookmarkEnd w:id="140"/>
    <w:bookmarkStart w:id="141" w:name="Xc6be430550f396fe4f1bfa50b35d851258e41dd"/>
    <w:p>
      <w:pPr>
        <w:pStyle w:val="Heading1"/>
      </w:pPr>
      <w:r>
        <w:t xml:space="preserve">14. Anexo C: Nota metodológica sobre el conteo de parches (Julia vs Python)</w:t>
      </w:r>
    </w:p>
    <w:p>
      <w:pPr>
        <w:pStyle w:val="FirstParagraph"/>
      </w:pPr>
      <w:r>
        <w:t xml:space="preserve">Las cifras de fragmentacion sobre el AOI acotado se reportan en dos implementaciones independientes que arrojan conteos distintos del mismo conjunto de GeoJSON. En Julia, mediante el algoritmo del shoelace aplicado al anillo exterior de cada polígono (Tabla</w:t>
      </w:r>
      <w:r>
        <w:t xml:space="preserve"> </w:t>
      </w:r>
      <w:r>
        <w:rPr>
          <w:rStyle w:val="VerbatimChar"/>
        </w:rPr>
        <w:t xml:space="preserve">tbl-fragmentacion-acotado</w:t>
      </w:r>
      <w:r>
        <w:t xml:space="preserve">), se contabilizan 79, 38 y 15 parches para los periodos de degradación, recuperación y actual respectivamente, en tanto que en Python con</w:t>
      </w:r>
      <w:r>
        <w:t xml:space="preserve"> </w:t>
      </w:r>
      <w:r>
        <w:rPr>
          <w:rStyle w:val="VerbatimChar"/>
        </w:rPr>
        <w:t xml:space="preserve">geopandas</w:t>
      </w:r>
      <w:r>
        <w:t xml:space="preserve"> </w:t>
      </w:r>
      <w:r>
        <w:t xml:space="preserve">usando el atributo</w:t>
      </w:r>
      <w:r>
        <w:t xml:space="preserve"> </w:t>
      </w:r>
      <w:r>
        <w:rPr>
          <w:rStyle w:val="VerbatimChar"/>
        </w:rPr>
        <w:t xml:space="preserve">geometry.area</w:t>
      </w:r>
      <w:r>
        <w:t xml:space="preserve"> </w:t>
      </w:r>
      <w:r>
        <w:t xml:space="preserve">(Tabla</w:t>
      </w:r>
      <w:r>
        <w:t xml:space="preserve"> </w:t>
      </w:r>
      <w:r>
        <w:rPr>
          <w:rStyle w:val="VerbatimChar"/>
        </w:rPr>
        <w:t xml:space="preserve">tbl-topológia-acotado</w:t>
      </w:r>
      <w:r>
        <w:t xml:space="preserve">), se contabilizan 17, 17 y 15. La discrepancia obedece a una diferencia metodológica especifica en el calculo del área por parche cuando los polígonos contienen anillos interiores.</w:t>
      </w:r>
    </w:p>
    <w:p>
      <w:pPr>
        <w:pStyle w:val="BodyText"/>
      </w:pPr>
      <w: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t xml:space="preserve"> </w:t>
      </w:r>
      <w:r>
        <w:rPr>
          <w:rStyle w:val="VerbatimChar"/>
        </w:rPr>
        <w:t xml:space="preserve">geopandas</w:t>
      </w:r>
      <w:r>
        <w:t xml:space="preserve"> </w:t>
      </w:r>
      <w:r>
        <w:t xml:space="preserve">calcula el área neta restando los huecos –siguiendo la definicion estandar del Simple Features Access para</w:t>
      </w:r>
      <w:r>
        <w:t xml:space="preserve"> </w:t>
      </w:r>
      <w:r>
        <w:rPr>
          <w:rStyle w:val="VerbatimChar"/>
        </w:rPr>
        <w:t xml:space="preserve">Polygon.area</w:t>
      </w:r>
      <w:r>
        <w:t xml:space="preserve">– mientras que la implementacion Julia, al iterar sobre</w:t>
      </w:r>
      <w:r>
        <w:t xml:space="preserve"> </w:t>
      </w:r>
      <w:r>
        <w:rPr>
          <w:rStyle w:val="VerbatimChar"/>
        </w:rPr>
        <w:t xml:space="preserve">ring = geom.coordinates[1]</w:t>
      </w:r>
      <w: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t xml:space="preserve"> </w:t>
      </w:r>
      <w:r>
        <w:rPr>
          <w:rStyle w:val="VerbatimChar"/>
        </w:rPr>
        <w:t xml:space="preserve">geopandas</w:t>
      </w:r>
      <w:r>
        <w:t xml:space="preserve">, lo que infla el conteo de parches Julia en periodos donde la dinámica hídrica produce huecos detectables –2020 (degradación) y 2022 (recuperación), cuando los canales atraviesan manglar fragmentado por La Niña y la rehabilitacion hidráulica– y coincide en el periodo actual (2024-2025) donde los parches sobrevivientes son más compactos sin canales internos visibles.</w:t>
      </w:r>
    </w:p>
    <w:p>
      <w:pPr>
        <w:pStyle w:val="BodyText"/>
      </w:pPr>
      <w:r>
        <w:t xml:space="preserve">Ambas mediciones tienen validez metodológica diferenciada. La versión</w:t>
      </w:r>
      <w:r>
        <w:t xml:space="preserve"> </w:t>
      </w:r>
      <w:r>
        <w:rPr>
          <w:rStyle w:val="VerbatimChar"/>
        </w:rPr>
        <w:t xml:space="preserve">geopandas</w:t>
      </w:r>
      <w:r>
        <w:t xml:space="preserve"> </w:t>
      </w:r>
      <w: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t xml:space="preserve"> </w:t>
      </w:r>
      <w:r>
        <w:rPr>
          <w:rStyle w:val="VerbatimChar"/>
        </w:rPr>
        <w:t xml:space="preserve">tbl-fragmentacion-acotado</w:t>
      </w:r>
      <w:r>
        <w:t xml:space="preserve"> </w:t>
      </w:r>
      <w:r>
        <w:t xml:space="preserve">se reporta el conteo Julia con la columna explicita</w:t>
      </w:r>
      <w:r>
        <w:t xml:space="preserve"> </w:t>
      </w:r>
      <w:r>
        <w:t xml:space="preserve">“Parches (Julia)”</w:t>
      </w:r>
      <w:r>
        <w:t xml:space="preserve"> </w:t>
      </w:r>
      <w:r>
        <w:t xml:space="preserve">y se utiliza para indicadores de forma –MSI– y aislamiento –NND–, mientras que en la Tabla</w:t>
      </w:r>
      <w:r>
        <w:t xml:space="preserve"> </w:t>
      </w:r>
      <w:r>
        <w:rPr>
          <w:rStyle w:val="VerbatimChar"/>
        </w:rPr>
        <w:t xml:space="preserve">tbl-topológia-acotado</w:t>
      </w:r>
      <w:r>
        <w:t xml:space="preserve"> </w:t>
      </w:r>
      <w:r>
        <w:t xml:space="preserve">se reporta el conteo</w:t>
      </w:r>
      <w:r>
        <w:t xml:space="preserve"> </w:t>
      </w:r>
      <w:r>
        <w:rPr>
          <w:rStyle w:val="VerbatimChar"/>
        </w:rPr>
        <w:t xml:space="preserve">geopandas</w:t>
      </w:r>
      <w:r>
        <w:t xml:space="preserve"> </w:t>
      </w:r>
      <w:r>
        <w:t xml:space="preserve">y se utiliza para indicadores de superficie y para el cruce con la frontera del AOI mediante predicados DE-9IM.</w:t>
      </w:r>
    </w:p>
    <w:bookmarkEnd w:id="141"/>
    <w:bookmarkStart w:id="143" w:name="Xf4a3426e1cf5b8d32386c7adead7fd6de6140e2"/>
    <w:p>
      <w:pPr>
        <w:pStyle w:val="Heading1"/>
      </w:pPr>
      <w:r>
        <w:t xml:space="preserve">15. Anexo D: Análisis complementario con caudal máximo mensual de El Banco</w:t>
      </w:r>
    </w:p>
    <w:p>
      <w:pPr>
        <w:pStyle w:val="FirstParagraph"/>
      </w:pPr>
      <w:r>
        <w:t xml:space="preserve">El cuerpo del informe reporta el acoplamiento entre el caudal</w:t>
      </w:r>
      <w:r>
        <w:t xml:space="preserve"> </w:t>
      </w:r>
      <w:r>
        <w:rPr>
          <w:b/>
          <w:bCs/>
        </w:rPr>
        <w:t xml:space="preserve">medio mensual</w:t>
      </w:r>
      <w:r>
        <w:t xml:space="preserve"> </w:t>
      </w:r>
      <w:r>
        <w:t xml:space="preserve">del río Magdalena en El Banco y el NDVI z-score de las estaciones de la CGSM (tabla</w:t>
      </w:r>
      <w:r>
        <w:t xml:space="preserve"> </w:t>
      </w:r>
      <w:hyperlink w:anchor="tbl-caudal-corr">
        <w:r>
          <w:rPr>
            <w:rStyle w:val="Hyperlink"/>
          </w:rPr>
          <w:t xml:space="preserve">tabla 14</w:t>
        </w:r>
      </w:hyperlink>
      <w:r>
        <w:t xml:space="preserve">), en este sentido la elección del caudal medio sobre el caudal máximo obedece a la coherencia metodológica con la estación Ganadería Caribe —disponible únicamente en caudal medio mensual— y al hecho de que el régimen sostenido representa mejor la dinámica hidrológica de fondo que los pulsos extremos puntuales. Para trazabilidad metodológica se reporta a continuación el mismo análisis ejecutado sobre la serie alternativa de</w:t>
      </w:r>
      <w:r>
        <w:t xml:space="preserve"> </w:t>
      </w:r>
      <w:r>
        <w:rPr>
          <w:b/>
          <w:bCs/>
        </w:rPr>
        <w:t xml:space="preserve">caudal máximo mensual</w:t>
      </w:r>
      <w:r>
        <w:t xml:space="preserve"> </w:t>
      </w:r>
      <w:r>
        <w:t xml:space="preserve">de El Banco (variable también disponible en el portal DHIME del IDEAM, 144 observaciónes continuas 2013–2025 con media 4.398,5 m³/s y rango 1.654,8–7.322,8 m³/s), de modo que el lector pueda evaluar la sensibilidad de las correlaciónes a la elección de la variable hidrométrica.</w:t>
      </w:r>
    </w:p>
    <w:tbl>
      <w:tblPr>
        <w:tblStyle w:val="Table"/>
        <w:tblW w:type="pct" w:w="5000"/>
        <w:tblLayout w:type="fixed"/>
        <w:tblLook w:firstRow="0" w:lastRow="0" w:firstColumn="0" w:lastColumn="0" w:noHBand="0" w:noVBand="0" w:val="0000"/>
      </w:tblPr>
      <w:tblGrid>
        <w:gridCol w:w="7920"/>
      </w:tblGrid>
      <w:tr>
        <w:tc>
          <w:tcPr/>
          <w:bookmarkStart w:id="142" w:name="tbl-caudal-comparación"/>
          <w:p>
            <w:pPr>
              <w:jc w:val="center"/>
            </w:pPr>
            <w:pPr>
              <w:jc w:val="left"/>
              <w:spacing w:before="200"/>
              <w:pStyle w:val="ImageCaption"/>
            </w:pPr>
            <w:r>
              <w:t xml:space="preserve">Tabla 24: Comparación de correlaciónes Pearson entre caudal mensual del río Magdalena en El Banco y NDVI z-score de la CGSM, calculadas sobre las dos variables hidrométricas disponibles: caudal máximo mensual (variable original explorada) y caudal medio mensual (variable vigente del cuerpo del informe). La columna Δ reporta la diferencia entre ambas correlaciónes.</w:t>
            </w:r>
          </w:p>
          <w:tbl>
            <w:tblPr>
              <w:tblStyle w:val="Table"/>
              <w:tblW w:type="pct" w:w="5000"/>
              <w:tblLayout w:type="fixed"/>
              <w:tblLook w:firstRow="1" w:lastRow="0" w:firstColumn="0" w:lastColumn="0" w:noHBand="0" w:noVBand="0" w:val="0020"/>
            </w:tblPr>
            <w:tblGrid>
              <w:gridCol w:w="1525"/>
              <w:gridCol w:w="871"/>
              <w:gridCol w:w="1162"/>
              <w:gridCol w:w="1743"/>
              <w:gridCol w:w="2397"/>
              <w:gridCol w:w="217"/>
            </w:tblGrid>
            <w:tr>
              <w:trPr>
                <w:tblHeader w:val="on"/>
              </w:trPr>
              <w:tc>
                <w:tcPr/>
                <w:p>
                  <w:pPr>
                    <w:pStyle w:val="Compact"/>
                    <w:jc w:val="center"/>
                  </w:pPr>
                  <w:r>
                    <w:t xml:space="preserve">Estación El Banco</w:t>
                  </w:r>
                </w:p>
              </w:tc>
              <w:tc>
                <w:tcPr/>
                <w:p>
                  <w:pPr>
                    <w:pStyle w:val="Compact"/>
                    <w:jc w:val="center"/>
                  </w:pPr>
                  <w:r>
                    <w:t xml:space="preserve">Naturaleza</w:t>
                  </w:r>
                </w:p>
              </w:tc>
              <w:tc>
                <w:tcPr/>
                <w:p>
                  <w:pPr>
                    <w:pStyle w:val="Compact"/>
                    <w:jc w:val="center"/>
                  </w:pPr>
                  <w:r>
                    <w:t xml:space="preserve">Rezago (meses)</w:t>
                  </w:r>
                </w:p>
              </w:tc>
              <w:tc>
                <w:tcPr/>
                <w:p>
                  <w:pPr>
                    <w:pStyle w:val="Compact"/>
                    <w:jc w:val="center"/>
                  </w:pPr>
                  <m:oMath>
                    <m:sSub>
                      <m:e>
                        <m:r>
                          <m:t>ρ</m:t>
                        </m:r>
                      </m:e>
                      <m:sub>
                        <m:r>
                          <m:rPr>
                            <m:nor/>
                            <m:sty m:val="p"/>
                          </m:rPr>
                          <m:t>máximo</m:t>
                        </m:r>
                      </m:sub>
                    </m:sSub>
                  </m:oMath>
                </w:p>
              </w:tc>
              <w:tc>
                <w:tcPr/>
                <w:p>
                  <w:pPr>
                    <w:pStyle w:val="Compact"/>
                    <w:jc w:val="center"/>
                  </w:pPr>
                  <m:oMath>
                    <m:sSub>
                      <m:e>
                        <m:r>
                          <m:t>ρ</m:t>
                        </m:r>
                      </m:e>
                      <m:sub>
                        <m:r>
                          <m:rPr>
                            <m:nor/>
                            <m:sty m:val="p"/>
                          </m:rPr>
                          <m:t>medio</m:t>
                        </m:r>
                      </m:sub>
                    </m:sSub>
                  </m:oMath>
                  <w:r>
                    <w:t xml:space="preserve"> </w:t>
                  </w:r>
                  <w:r>
                    <w:t xml:space="preserve">(vigente)</w:t>
                  </w:r>
                </w:p>
              </w:tc>
              <w:tc>
                <w:tcPr/>
                <w:p>
                  <w:pPr>
                    <w:pStyle w:val="Compact"/>
                    <w:jc w:val="center"/>
                  </w:pPr>
                  <w:r>
                    <w:t xml:space="preserve">Δ</w:t>
                  </w:r>
                </w:p>
              </w:tc>
            </w:tr>
            <w:tr>
              <w:tc>
                <w:tcPr/>
                <w:p>
                  <w:pPr>
                    <w:pStyle w:val="Compact"/>
                    <w:jc w:val="center"/>
                  </w:pPr>
                  <w:r>
                    <w:t xml:space="preserve">Caudal</w:t>
                  </w:r>
                </w:p>
              </w:tc>
              <w:tc>
                <w:tcPr/>
                <w:p>
                  <w:pPr>
                    <w:pStyle w:val="Compact"/>
                    <w:jc w:val="center"/>
                  </w:pPr>
                  <w:r>
                    <w:t xml:space="preserve">Manglar</w:t>
                  </w:r>
                </w:p>
              </w:tc>
              <w:tc>
                <w:tcPr/>
                <w:p>
                  <w:pPr>
                    <w:pStyle w:val="Compact"/>
                    <w:jc w:val="center"/>
                  </w:pPr>
                  <w:r>
                    <w:t xml:space="preserve">0</w:t>
                  </w:r>
                </w:p>
              </w:tc>
              <w:tc>
                <w:tcPr/>
                <w:p>
                  <w:pPr>
                    <w:pStyle w:val="Compact"/>
                    <w:jc w:val="center"/>
                  </w:pPr>
                  <m:oMath>
                    <m:r>
                      <m:rPr>
                        <m:sty m:val="p"/>
                      </m:rPr>
                      <m:t>+</m:t>
                    </m:r>
                    <m:r>
                      <m:t>0</m:t>
                    </m:r>
                    <m:r>
                      <m:rPr>
                        <m:sty m:val="p"/>
                      </m:rPr>
                      <m:t>,</m:t>
                    </m:r>
                    <m:r>
                      <m:t>185</m:t>
                    </m:r>
                  </m:oMath>
                </w:p>
              </w:tc>
              <w:tc>
                <w:tcPr/>
                <w:p>
                  <w:pPr>
                    <w:pStyle w:val="Compact"/>
                    <w:jc w:val="center"/>
                  </w:pPr>
                  <m:oMath>
                    <m:r>
                      <m:rPr>
                        <m:sty m:val="p"/>
                      </m:rPr>
                      <m:t>+</m:t>
                    </m:r>
                    <m:r>
                      <m:t>0</m:t>
                    </m:r>
                    <m:r>
                      <m:rPr>
                        <m:sty m:val="p"/>
                      </m:rPr>
                      <m:t>,</m:t>
                    </m:r>
                    <m:r>
                      <m:t>064</m:t>
                    </m:r>
                  </m:oMath>
                </w:p>
              </w:tc>
              <w:tc>
                <w:tcPr/>
                <w:p>
                  <w:pPr>
                    <w:pStyle w:val="Compact"/>
                    <w:jc w:val="center"/>
                  </w:pPr>
                  <m:oMath>
                    <m:r>
                      <m:rPr>
                        <m:sty m:val="p"/>
                      </m:rPr>
                      <m:t>−</m:t>
                    </m:r>
                    <m:r>
                      <m:t>0</m:t>
                    </m:r>
                    <m:r>
                      <m:rPr>
                        <m:sty m:val="p"/>
                      </m:rPr>
                      <m:t>,</m:t>
                    </m:r>
                    <m:r>
                      <m:t>121</m:t>
                    </m:r>
                  </m:oMath>
                </w:p>
              </w:tc>
            </w:tr>
            <w:tr>
              <w:tc>
                <w:tcPr/>
                <w:p>
                  <w:pPr>
                    <w:pStyle w:val="Compact"/>
                    <w:jc w:val="center"/>
                  </w:pPr>
                  <w:r>
                    <w:t xml:space="preserve">Caudal</w:t>
                  </w:r>
                </w:p>
              </w:tc>
              <w:tc>
                <w:tcPr/>
                <w:p>
                  <w:pPr>
                    <w:pStyle w:val="Compact"/>
                    <w:jc w:val="center"/>
                  </w:pPr>
                  <w:r>
                    <w:t xml:space="preserve">Manglar</w:t>
                  </w:r>
                </w:p>
              </w:tc>
              <w:tc>
                <w:tcPr/>
                <w:p>
                  <w:pPr>
                    <w:pStyle w:val="Compact"/>
                    <w:jc w:val="center"/>
                  </w:pPr>
                  <w:r>
                    <w:t xml:space="preserve">1</w:t>
                  </w:r>
                </w:p>
              </w:tc>
              <w:tc>
                <w:tcPr/>
                <w:p>
                  <w:pPr>
                    <w:pStyle w:val="Compact"/>
                    <w:jc w:val="center"/>
                  </w:pPr>
                  <m:oMath>
                    <m:r>
                      <m:rPr>
                        <m:sty m:val="p"/>
                      </m:rPr>
                      <m:t>+</m:t>
                    </m:r>
                    <m:r>
                      <m:t>0</m:t>
                    </m:r>
                    <m:r>
                      <m:rPr>
                        <m:sty m:val="p"/>
                      </m:rPr>
                      <m:t>,</m:t>
                    </m:r>
                    <m:r>
                      <m:t>123</m:t>
                    </m:r>
                  </m:oMath>
                </w:p>
              </w:tc>
              <w:tc>
                <w:tcPr/>
                <w:p>
                  <w:pPr>
                    <w:pStyle w:val="Compact"/>
                    <w:jc w:val="center"/>
                  </w:pPr>
                  <m:oMath>
                    <m:r>
                      <m:rPr>
                        <m:sty m:val="p"/>
                      </m:rPr>
                      <m:t>+</m:t>
                    </m:r>
                    <m:r>
                      <m:t>0</m:t>
                    </m:r>
                    <m:r>
                      <m:rPr>
                        <m:sty m:val="p"/>
                      </m:rPr>
                      <m:t>,</m:t>
                    </m:r>
                    <m:r>
                      <m:t>039</m:t>
                    </m:r>
                  </m:oMath>
                </w:p>
              </w:tc>
              <w:tc>
                <w:tcPr/>
                <w:p>
                  <w:pPr>
                    <w:pStyle w:val="Compact"/>
                    <w:jc w:val="center"/>
                  </w:pPr>
                  <m:oMath>
                    <m:r>
                      <m:rPr>
                        <m:sty m:val="p"/>
                      </m:rPr>
                      <m:t>−</m:t>
                    </m:r>
                    <m:r>
                      <m:t>0</m:t>
                    </m:r>
                    <m:r>
                      <m:rPr>
                        <m:sty m:val="p"/>
                      </m:rPr>
                      <m:t>,</m:t>
                    </m:r>
                    <m:r>
                      <m:t>084</m:t>
                    </m:r>
                  </m:oMath>
                </w:p>
              </w:tc>
            </w:tr>
            <w:tr>
              <w:tc>
                <w:tcPr/>
                <w:p>
                  <w:pPr>
                    <w:pStyle w:val="Compact"/>
                    <w:jc w:val="center"/>
                  </w:pPr>
                  <w:r>
                    <w:t xml:space="preserve">Caudal</w:t>
                  </w:r>
                </w:p>
              </w:tc>
              <w:tc>
                <w:tcPr/>
                <w:p>
                  <w:pPr>
                    <w:pStyle w:val="Compact"/>
                    <w:jc w:val="center"/>
                  </w:pPr>
                  <w:r>
                    <w:t xml:space="preserve">Manglar</w:t>
                  </w:r>
                </w:p>
              </w:tc>
              <w:tc>
                <w:tcPr/>
                <w:p>
                  <w:pPr>
                    <w:pStyle w:val="Compact"/>
                    <w:jc w:val="center"/>
                  </w:pPr>
                  <w:r>
                    <w:t xml:space="preserve">2</w:t>
                  </w:r>
                </w:p>
              </w:tc>
              <w:tc>
                <w:tcPr/>
                <w:p>
                  <w:pPr>
                    <w:pStyle w:val="Compact"/>
                    <w:jc w:val="center"/>
                  </w:pPr>
                  <m:oMath>
                    <m:r>
                      <m:rPr>
                        <m:sty m:val="p"/>
                      </m:rPr>
                      <m:t>+</m:t>
                    </m:r>
                    <m:r>
                      <m:t>0</m:t>
                    </m:r>
                    <m:r>
                      <m:rPr>
                        <m:sty m:val="p"/>
                      </m:rPr>
                      <m:t>,</m:t>
                    </m:r>
                    <m:r>
                      <m:t>164</m:t>
                    </m:r>
                  </m:oMath>
                </w:p>
              </w:tc>
              <w:tc>
                <w:tcPr/>
                <w:p>
                  <w:pPr>
                    <w:pStyle w:val="Compact"/>
                    <w:jc w:val="center"/>
                  </w:pPr>
                  <m:oMath>
                    <m:r>
                      <m:rPr>
                        <m:sty m:val="p"/>
                      </m:rPr>
                      <m:t>+</m:t>
                    </m:r>
                    <m:r>
                      <m:t>0</m:t>
                    </m:r>
                    <m:r>
                      <m:rPr>
                        <m:sty m:val="p"/>
                      </m:rPr>
                      <m:t>,</m:t>
                    </m:r>
                    <m:r>
                      <m:t>108</m:t>
                    </m:r>
                  </m:oMath>
                </w:p>
              </w:tc>
              <w:tc>
                <w:tcPr/>
                <w:p>
                  <w:pPr>
                    <w:pStyle w:val="Compact"/>
                    <w:jc w:val="center"/>
                  </w:pPr>
                  <m:oMath>
                    <m:r>
                      <m:rPr>
                        <m:sty m:val="p"/>
                      </m:rPr>
                      <m:t>−</m:t>
                    </m:r>
                    <m:r>
                      <m:t>0</m:t>
                    </m:r>
                    <m:r>
                      <m:rPr>
                        <m:sty m:val="p"/>
                      </m:rPr>
                      <m:t>,</m:t>
                    </m:r>
                    <m:r>
                      <m:t>056</m:t>
                    </m:r>
                  </m:oMath>
                </w:p>
              </w:tc>
            </w:tr>
            <w:tr>
              <w:tc>
                <w:tcPr/>
                <w:p>
                  <w:pPr>
                    <w:pStyle w:val="Compact"/>
                    <w:jc w:val="center"/>
                  </w:pPr>
                  <w:r>
                    <w:t xml:space="preserve">Caudal</w:t>
                  </w:r>
                </w:p>
              </w:tc>
              <w:tc>
                <w:tcPr/>
                <w:p>
                  <w:pPr>
                    <w:pStyle w:val="Compact"/>
                    <w:jc w:val="center"/>
                  </w:pPr>
                  <w:r>
                    <w:t xml:space="preserve">Manglar</w:t>
                  </w:r>
                </w:p>
              </w:tc>
              <w:tc>
                <w:tcPr/>
                <w:p>
                  <w:pPr>
                    <w:pStyle w:val="Compact"/>
                    <w:jc w:val="center"/>
                  </w:pPr>
                  <w:r>
                    <w:t xml:space="preserve">3</w:t>
                  </w:r>
                </w:p>
              </w:tc>
              <w:tc>
                <w:tcPr/>
                <w:p>
                  <w:pPr>
                    <w:pStyle w:val="Compact"/>
                    <w:jc w:val="center"/>
                  </w:pPr>
                  <m:oMath>
                    <m:r>
                      <m:rPr>
                        <m:sty m:val="p"/>
                      </m:rPr>
                      <m:t>+</m:t>
                    </m:r>
                    <m:r>
                      <m:t>0</m:t>
                    </m:r>
                    <m:r>
                      <m:rPr>
                        <m:sty m:val="p"/>
                      </m:rPr>
                      <m:t>,</m:t>
                    </m:r>
                    <m:r>
                      <m:t>277</m:t>
                    </m:r>
                  </m:oMath>
                </w:p>
              </w:tc>
              <w:tc>
                <w:tcPr/>
                <w:p>
                  <w:pPr>
                    <w:pStyle w:val="Compact"/>
                    <w:jc w:val="center"/>
                  </w:pPr>
                  <m:oMath>
                    <m:r>
                      <m:rPr>
                        <m:sty m:val="p"/>
                      </m:rPr>
                      <m:t>+</m:t>
                    </m:r>
                    <m:r>
                      <m:t>0</m:t>
                    </m:r>
                    <m:r>
                      <m:rPr>
                        <m:sty m:val="p"/>
                      </m:rPr>
                      <m:t>,</m:t>
                    </m:r>
                    <m:r>
                      <m:t>256</m:t>
                    </m:r>
                  </m:oMath>
                </w:p>
              </w:tc>
              <w:tc>
                <w:tcPr/>
                <w:p>
                  <w:pPr>
                    <w:pStyle w:val="Compact"/>
                    <w:jc w:val="center"/>
                  </w:pPr>
                  <m:oMath>
                    <m:r>
                      <m:rPr>
                        <m:sty m:val="p"/>
                      </m:rPr>
                      <m:t>−</m:t>
                    </m:r>
                    <m:r>
                      <m:t>0</m:t>
                    </m:r>
                    <m:r>
                      <m:rPr>
                        <m:sty m:val="p"/>
                      </m:rPr>
                      <m:t>,</m:t>
                    </m:r>
                    <m:r>
                      <m:t>021</m:t>
                    </m:r>
                  </m:oMath>
                </w:p>
              </w:tc>
            </w:tr>
            <w:tr>
              <w:tc>
                <w:tcPr/>
                <w:p>
                  <w:pPr>
                    <w:pStyle w:val="Compact"/>
                    <w:jc w:val="center"/>
                  </w:pPr>
                  <w:r>
                    <w:t xml:space="preserve">Caudal</w:t>
                  </w:r>
                </w:p>
              </w:tc>
              <w:tc>
                <w:tcPr/>
                <w:p>
                  <w:pPr>
                    <w:pStyle w:val="Compact"/>
                    <w:jc w:val="center"/>
                  </w:pPr>
                  <w:r>
                    <w:t xml:space="preserve">Limnológica</w:t>
                  </w:r>
                </w:p>
              </w:tc>
              <w:tc>
                <w:tcPr/>
                <w:p>
                  <w:pPr>
                    <w:pStyle w:val="Compact"/>
                    <w:jc w:val="center"/>
                  </w:pPr>
                  <w:r>
                    <w:t xml:space="preserve">0</w:t>
                  </w:r>
                </w:p>
              </w:tc>
              <w:tc>
                <w:tcPr/>
                <w:p>
                  <w:pPr>
                    <w:pStyle w:val="Compact"/>
                    <w:jc w:val="center"/>
                  </w:pPr>
                  <m:oMath>
                    <m:r>
                      <m:rPr>
                        <m:sty m:val="p"/>
                      </m:rPr>
                      <m:t>+</m:t>
                    </m:r>
                    <m:r>
                      <m:t>0</m:t>
                    </m:r>
                    <m:r>
                      <m:rPr>
                        <m:sty m:val="p"/>
                      </m:rPr>
                      <m:t>,</m:t>
                    </m:r>
                    <m:r>
                      <m:t>169</m:t>
                    </m:r>
                  </m:oMath>
                </w:p>
              </w:tc>
              <w:tc>
                <w:tcPr/>
                <w:p>
                  <w:pPr>
                    <w:pStyle w:val="Compact"/>
                    <w:jc w:val="center"/>
                  </w:pPr>
                  <m:oMath>
                    <m:r>
                      <m:rPr>
                        <m:sty m:val="p"/>
                      </m:rPr>
                      <m:t>+</m:t>
                    </m:r>
                    <m:r>
                      <m:t>0</m:t>
                    </m:r>
                    <m:r>
                      <m:rPr>
                        <m:sty m:val="p"/>
                      </m:rPr>
                      <m:t>,</m:t>
                    </m:r>
                    <m:r>
                      <m:t>181</m:t>
                    </m:r>
                  </m:oMath>
                </w:p>
              </w:tc>
              <w:tc>
                <w:tcPr/>
                <w:p>
                  <w:pPr>
                    <w:pStyle w:val="Compact"/>
                    <w:jc w:val="center"/>
                  </w:pPr>
                  <m:oMath>
                    <m:r>
                      <m:rPr>
                        <m:sty m:val="p"/>
                      </m:rPr>
                      <m:t>+</m:t>
                    </m:r>
                    <m:r>
                      <m:t>0</m:t>
                    </m:r>
                    <m:r>
                      <m:rPr>
                        <m:sty m:val="p"/>
                      </m:rPr>
                      <m:t>,</m:t>
                    </m:r>
                    <m:r>
                      <m:t>012</m:t>
                    </m:r>
                  </m:oMath>
                </w:p>
              </w:tc>
            </w:tr>
            <w:tr>
              <w:tc>
                <w:tcPr/>
                <w:p>
                  <w:pPr>
                    <w:pStyle w:val="Compact"/>
                    <w:jc w:val="center"/>
                  </w:pPr>
                  <w:r>
                    <w:t xml:space="preserve">Caudal</w:t>
                  </w:r>
                </w:p>
              </w:tc>
              <w:tc>
                <w:tcPr/>
                <w:p>
                  <w:pPr>
                    <w:pStyle w:val="Compact"/>
                    <w:jc w:val="center"/>
                  </w:pPr>
                  <w:r>
                    <w:t xml:space="preserve">Limnológica</w:t>
                  </w:r>
                </w:p>
              </w:tc>
              <w:tc>
                <w:tcPr/>
                <w:p>
                  <w:pPr>
                    <w:pStyle w:val="Compact"/>
                    <w:jc w:val="center"/>
                  </w:pPr>
                  <w:r>
                    <w:t xml:space="preserve">1</w:t>
                  </w:r>
                </w:p>
              </w:tc>
              <w:tc>
                <w:tcPr/>
                <w:p>
                  <w:pPr>
                    <w:pStyle w:val="Compact"/>
                    <w:jc w:val="center"/>
                  </w:pPr>
                  <m:oMath>
                    <m:r>
                      <m:rPr>
                        <m:sty m:val="p"/>
                      </m:rPr>
                      <m:t>+</m:t>
                    </m:r>
                    <m:r>
                      <m:t>0</m:t>
                    </m:r>
                    <m:r>
                      <m:rPr>
                        <m:sty m:val="p"/>
                      </m:rPr>
                      <m:t>,</m:t>
                    </m:r>
                    <m:r>
                      <m:t>265</m:t>
                    </m:r>
                  </m:oMath>
                </w:p>
              </w:tc>
              <w:tc>
                <w:tcPr/>
                <w:p>
                  <w:pPr>
                    <w:pStyle w:val="Compact"/>
                    <w:jc w:val="center"/>
                  </w:pPr>
                  <m:oMath>
                    <m:r>
                      <m:rPr>
                        <m:sty m:val="p"/>
                      </m:rPr>
                      <m:t>+</m:t>
                    </m:r>
                    <m:r>
                      <m:t>0</m:t>
                    </m:r>
                    <m:r>
                      <m:rPr>
                        <m:sty m:val="p"/>
                      </m:rPr>
                      <m:t>,</m:t>
                    </m:r>
                    <m:r>
                      <m:t>233</m:t>
                    </m:r>
                  </m:oMath>
                </w:p>
              </w:tc>
              <w:tc>
                <w:tcPr/>
                <w:p>
                  <w:pPr>
                    <w:pStyle w:val="Compact"/>
                    <w:jc w:val="center"/>
                  </w:pPr>
                  <m:oMath>
                    <m:r>
                      <m:rPr>
                        <m:sty m:val="p"/>
                      </m:rPr>
                      <m:t>−</m:t>
                    </m:r>
                    <m:r>
                      <m:t>0</m:t>
                    </m:r>
                    <m:r>
                      <m:rPr>
                        <m:sty m:val="p"/>
                      </m:rPr>
                      <m:t>,</m:t>
                    </m:r>
                    <m:r>
                      <m:t>032</m:t>
                    </m:r>
                  </m:oMath>
                </w:p>
              </w:tc>
            </w:tr>
            <w:tr>
              <w:tc>
                <w:tcPr/>
                <w:p>
                  <w:pPr>
                    <w:pStyle w:val="Compact"/>
                    <w:jc w:val="center"/>
                  </w:pPr>
                  <w:r>
                    <w:t xml:space="preserve">Caudal</w:t>
                  </w:r>
                </w:p>
              </w:tc>
              <w:tc>
                <w:tcPr/>
                <w:p>
                  <w:pPr>
                    <w:pStyle w:val="Compact"/>
                    <w:jc w:val="center"/>
                  </w:pPr>
                  <w:r>
                    <w:t xml:space="preserve">Limnológica</w:t>
                  </w:r>
                </w:p>
              </w:tc>
              <w:tc>
                <w:tcPr/>
                <w:p>
                  <w:pPr>
                    <w:pStyle w:val="Compact"/>
                    <w:jc w:val="center"/>
                  </w:pPr>
                  <w:r>
                    <w:t xml:space="preserve">2</w:t>
                  </w:r>
                </w:p>
              </w:tc>
              <w:tc>
                <w:tcPr/>
                <w:p>
                  <w:pPr>
                    <w:pStyle w:val="Compact"/>
                    <w:jc w:val="center"/>
                  </w:pPr>
                  <m:oMath>
                    <m:r>
                      <m:rPr>
                        <m:sty m:val="p"/>
                      </m:rPr>
                      <m:t>+</m:t>
                    </m:r>
                    <m:r>
                      <m:t>0</m:t>
                    </m:r>
                    <m:r>
                      <m:rPr>
                        <m:sty m:val="p"/>
                      </m:rPr>
                      <m:t>,</m:t>
                    </m:r>
                    <m:r>
                      <m:t>127</m:t>
                    </m:r>
                  </m:oMath>
                </w:p>
              </w:tc>
              <w:tc>
                <w:tcPr/>
                <w:p>
                  <w:pPr>
                    <w:pStyle w:val="Compact"/>
                    <w:jc w:val="center"/>
                  </w:pPr>
                  <m:oMath>
                    <m:r>
                      <m:rPr>
                        <m:sty m:val="p"/>
                      </m:rPr>
                      <m:t>+</m:t>
                    </m:r>
                    <m:r>
                      <m:t>0</m:t>
                    </m:r>
                    <m:r>
                      <m:rPr>
                        <m:sty m:val="p"/>
                      </m:rPr>
                      <m:t>,</m:t>
                    </m:r>
                    <m:r>
                      <m:t>043</m:t>
                    </m:r>
                  </m:oMath>
                </w:p>
              </w:tc>
              <w:tc>
                <w:tcPr/>
                <w:p>
                  <w:pPr>
                    <w:pStyle w:val="Compact"/>
                    <w:jc w:val="center"/>
                  </w:pPr>
                  <m:oMath>
                    <m:r>
                      <m:rPr>
                        <m:sty m:val="p"/>
                      </m:rPr>
                      <m:t>−</m:t>
                    </m:r>
                    <m:r>
                      <m:t>0</m:t>
                    </m:r>
                    <m:r>
                      <m:rPr>
                        <m:sty m:val="p"/>
                      </m:rPr>
                      <m:t>,</m:t>
                    </m:r>
                    <m:r>
                      <m:t>084</m:t>
                    </m:r>
                  </m:oMath>
                </w:p>
              </w:tc>
            </w:tr>
            <w:tr>
              <w:tc>
                <w:tcPr/>
                <w:p>
                  <w:pPr>
                    <w:pStyle w:val="Compact"/>
                    <w:jc w:val="center"/>
                  </w:pPr>
                  <w:r>
                    <w:t xml:space="preserve">Caudal</w:t>
                  </w:r>
                </w:p>
              </w:tc>
              <w:tc>
                <w:tcPr/>
                <w:p>
                  <w:pPr>
                    <w:pStyle w:val="Compact"/>
                    <w:jc w:val="center"/>
                  </w:pPr>
                  <w:r>
                    <w:t xml:space="preserve">Limnológica</w:t>
                  </w:r>
                </w:p>
              </w:tc>
              <w:tc>
                <w:tcPr/>
                <w:p>
                  <w:pPr>
                    <w:pStyle w:val="Compact"/>
                    <w:jc w:val="center"/>
                  </w:pPr>
                  <w:r>
                    <w:t xml:space="preserve">3</w:t>
                  </w:r>
                </w:p>
              </w:tc>
              <w:tc>
                <w:tcPr/>
                <w:p>
                  <w:pPr>
                    <w:pStyle w:val="Compact"/>
                    <w:jc w:val="center"/>
                  </w:pPr>
                  <m:oMath>
                    <m:r>
                      <m:rPr>
                        <m:sty m:val="p"/>
                      </m:rPr>
                      <m:t>+</m:t>
                    </m:r>
                    <m:r>
                      <m:t>0</m:t>
                    </m:r>
                    <m:r>
                      <m:rPr>
                        <m:sty m:val="p"/>
                      </m:rPr>
                      <m:t>,</m:t>
                    </m:r>
                    <m:r>
                      <m:t>039</m:t>
                    </m:r>
                  </m:oMath>
                </w:p>
              </w:tc>
              <w:tc>
                <w:tcPr/>
                <w:p>
                  <w:pPr>
                    <w:pStyle w:val="Compact"/>
                    <w:jc w:val="center"/>
                  </w:pPr>
                  <m:oMath>
                    <m:r>
                      <m:rPr>
                        <m:sty m:val="p"/>
                      </m:rPr>
                      <m:t>+</m:t>
                    </m:r>
                    <m:r>
                      <m:t>0</m:t>
                    </m:r>
                    <m:r>
                      <m:rPr>
                        <m:sty m:val="p"/>
                      </m:rPr>
                      <m:t>,</m:t>
                    </m:r>
                    <m:r>
                      <m:t>050</m:t>
                    </m:r>
                  </m:oMath>
                </w:p>
              </w:tc>
              <w:tc>
                <w:tcPr/>
                <w:p>
                  <w:pPr>
                    <w:pStyle w:val="Compact"/>
                    <w:jc w:val="center"/>
                  </w:pPr>
                  <m:oMath>
                    <m:r>
                      <m:rPr>
                        <m:sty m:val="p"/>
                      </m:rPr>
                      <m:t>+</m:t>
                    </m:r>
                    <m:r>
                      <m:t>0</m:t>
                    </m:r>
                    <m:r>
                      <m:rPr>
                        <m:sty m:val="p"/>
                      </m:rPr>
                      <m:t>,</m:t>
                    </m:r>
                    <m:r>
                      <m:t>011</m:t>
                    </m:r>
                  </m:oMath>
                </w:p>
              </w:tc>
            </w:tr>
          </w:tbl>
          <w:bookmarkEnd w:id="142"/>
          <w:p/>
        </w:tc>
      </w:tr>
    </w:tbl>
    <w:p>
      <w:pPr>
        <w:pStyle w:val="BodyText"/>
      </w:pPr>
      <w:r>
        <w:t xml:space="preserve">Las dos variables hidrométricas arrojan correlaciónes positivas universales con NDVI —el signo del acoplamiento es robusto a la elección de la variable— y la correlación más alta sobre el manglar se ubica en ambos casos en el rezago de tres meses, en este sentido las conclusiónes científicas del cuerpo del informe sobre el régimen de fondo se sostienen en cualquiera de las dos representaciones. La principal diferencia se observa en los rezagos cortos (</w:t>
      </w:r>
      <m:oMath>
        <m:sSub>
          <m:e>
            <m:r>
              <m:t>ρ</m:t>
            </m:r>
          </m:e>
          <m:sub>
            <m:r>
              <m:rPr>
                <m:nor/>
                <m:sty m:val="p"/>
              </m:rPr>
              <m:t>máximo</m:t>
            </m:r>
          </m:sub>
        </m:sSub>
      </m:oMath>
      <w:r>
        <w:t xml:space="preserve"> </w:t>
      </w:r>
      <w:r>
        <w:t xml:space="preserve">supera a</w:t>
      </w:r>
      <w:r>
        <w:t xml:space="preserve"> </w:t>
      </w:r>
      <m:oMath>
        <m:sSub>
          <m:e>
            <m:r>
              <m:t>ρ</m:t>
            </m:r>
          </m:e>
          <m:sub>
            <m:r>
              <m:rPr>
                <m:nor/>
                <m:sty m:val="p"/>
              </m:rPr>
              <m:t>medio</m:t>
            </m:r>
          </m:sub>
        </m:sSub>
      </m:oMath>
      <w:r>
        <w:t xml:space="preserve"> </w:t>
      </w:r>
      <w:r>
        <w:t xml:space="preserve">por 0,08–0,12 unidades en lag 0–1), lo cual es coherente con que los picos extremos del caudal máximo se asocian más rápidamente con cambios espectrales puntuales en el dosel mientras que el caudal medio captura el efecto agregado del régimen sostenido. Para análisis ecohidrológicos del régimen general se prefiere el caudal medio mensual reportado en el cuerpo del informe; para análisis específicos de pulsos extremos de avenida —línea de trabajo futuro sugerida en las conclusiónes— el caudal máximo mensual ofrece la representación apropiada.</w:t>
      </w:r>
    </w:p>
    <w:bookmarkEnd w:id="143"/>
    <w:bookmarkStart w:id="158" w:name="X87afce93389166fcff86155294321157c45f278"/>
    <w:p>
      <w:pPr>
        <w:pStyle w:val="Heading1"/>
      </w:pPr>
      <w:r>
        <w:t xml:space="preserve">16. Anexo E: Fragmentos de código complementaríos</w:t>
      </w:r>
    </w:p>
    <w:p>
      <w:pPr>
        <w:pStyle w:val="FirstParagraph"/>
      </w:pPr>
      <w: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w:t>
      </w:r>
    </w:p>
    <w:bookmarkStart w:id="149" w:name="X8010b29c17b57e56e5ad035387045cc0bb30b58"/>
    <w:p>
      <w:pPr>
        <w:pStyle w:val="Heading2"/>
      </w:pPr>
      <w:r>
        <w:t xml:space="preserve">16.1 E.1 Datacube multitemporal y series de tiempo</w:t>
      </w:r>
    </w:p>
    <w:bookmarkStart w:id="144" w:name="X0c32a2aabdf0f72047edf90bf42524e52169d25"/>
    <w:p>
      <w:pPr>
        <w:pStyle w:val="Heading3"/>
      </w:pPr>
      <w:r>
        <w:t xml:space="preserve">16.1.1 E.1.a Lectura perezosa del datacube NetCDF con xarray</w:t>
      </w:r>
    </w:p>
    <w:p>
      <w:pPr>
        <w:pStyle w:val="FirstParagraph"/>
      </w:pPr>
      <w:r>
        <w:t xml:space="preserve">El datacube trimestral materializado como NetCDF CF-1.8 se abre con evaluación perezosa mediante</w:t>
      </w:r>
      <w:r>
        <w:t xml:space="preserve"> </w:t>
      </w:r>
      <w:r>
        <w:rPr>
          <w:rStyle w:val="VerbatimChar"/>
        </w:rPr>
        <w:t xml:space="preserve">xarray.open_dataset</w:t>
      </w:r>
      <w:r>
        <w:t xml:space="preserve"> </w:t>
      </w:r>
      <w:r>
        <w:t xml:space="preserve">con argumento</w:t>
      </w:r>
      <w:r>
        <w:t xml:space="preserve"> </w:t>
      </w:r>
      <w:r>
        <w:rPr>
          <w:rStyle w:val="VerbatimChar"/>
        </w:rPr>
        <w:t xml:space="preserve">chunks</w:t>
      </w:r>
      <w:r>
        <w:t xml:space="preserve">, de modo que las operaciones de selección y reducción se planifican como un grafo de cómputo dask y solo se materializan los píxeles necesaríos al invocar</w:t>
      </w:r>
      <w:r>
        <w:t xml:space="preserve"> </w:t>
      </w:r>
      <w:r>
        <w:rPr>
          <w:rStyle w:val="VerbatimChar"/>
        </w:rPr>
        <w:t xml:space="preserve">.compute()</w:t>
      </w:r>
      <w: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rPr>
        <w:t xml:space="preserve">import</w:t>
      </w:r>
      <w:r>
        <w:rPr>
          <w:rStyle w:val="NormalTok"/>
        </w:rPr>
        <w:t xml:space="preserve"> xarray </w:t>
      </w:r>
      <w:r>
        <w:rPr>
          <w:rStyle w:val="ImportTok"/>
        </w:rPr>
        <w:t xml:space="preserve">as</w:t>
      </w:r>
      <w:r>
        <w:rPr>
          <w:rStyle w:val="NormalTok"/>
        </w:rPr>
        <w:t xml:space="preserve"> xr</w:t>
      </w:r>
      <w:r>
        <w:br/>
      </w:r>
      <w:r>
        <w:rPr>
          <w:rStyle w:val="NormalTok"/>
        </w:rPr>
        <w:t xml:space="preserve">ds </w:t>
      </w:r>
      <w:r>
        <w:rPr>
          <w:rStyle w:val="OperatorTok"/>
        </w:rPr>
        <w:t xml:space="preserve">=</w:t>
      </w:r>
      <w:r>
        <w:rPr>
          <w:rStyle w:val="NormalTok"/>
        </w:rPr>
        <w:t xml:space="preserve"> xr.open_dataset(</w:t>
      </w:r>
      <w:r>
        <w:rPr>
          <w:rStyle w:val="StringTok"/>
        </w:rPr>
        <w:t xml:space="preserve">'data/processed/cubo/cgsm_datacube_trimestral.nc'</w:t>
      </w:r>
      <w:r>
        <w:rPr>
          <w:rStyle w:val="NormalTok"/>
        </w:rPr>
        <w:t xml:space="preserve">,</w:t>
      </w:r>
      <w:r>
        <w:br/>
      </w:r>
      <w:r>
        <w:rPr>
          <w:rStyle w:val="NormalTok"/>
        </w:rPr>
        <w:t xml:space="preserve">                     chunks</w:t>
      </w:r>
      <w:r>
        <w:rPr>
          <w:rStyle w:val="OperatorTok"/>
        </w:rPr>
        <w:t xml:space="preserve">=</w:t>
      </w:r>
      <w:r>
        <w:rPr>
          <w:rStyle w:val="NormalTok"/>
        </w:rPr>
        <w:t xml:space="preserve">{</w:t>
      </w:r>
      <w:r>
        <w:rPr>
          <w:rStyle w:val="StringTok"/>
        </w:rPr>
        <w:t xml:space="preserve">'time'</w:t>
      </w:r>
      <w:r>
        <w:rPr>
          <w:rStyle w:val="NormalTok"/>
        </w:rPr>
        <w:t xml:space="preserve">: </w:t>
      </w:r>
      <w:r>
        <w:rPr>
          <w:rStyle w:val="DecValTok"/>
        </w:rPr>
        <w:t xml:space="preserve">1</w:t>
      </w:r>
      <w:r>
        <w:rPr>
          <w:rStyle w:val="NormalTok"/>
        </w:rPr>
        <w:t xml:space="preserve">, </w:t>
      </w:r>
      <w:r>
        <w:rPr>
          <w:rStyle w:val="StringTok"/>
        </w:rPr>
        <w:t xml:space="preserve">'x'</w:t>
      </w:r>
      <w:r>
        <w:rPr>
          <w:rStyle w:val="NormalTok"/>
        </w:rPr>
        <w:t xml:space="preserve">: </w:t>
      </w:r>
      <w:r>
        <w:rPr>
          <w:rStyle w:val="DecValTok"/>
        </w:rPr>
        <w:t xml:space="preserve">512</w:t>
      </w:r>
      <w:r>
        <w:rPr>
          <w:rStyle w:val="NormalTok"/>
        </w:rPr>
        <w:t xml:space="preserve">, </w:t>
      </w:r>
      <w:r>
        <w:rPr>
          <w:rStyle w:val="StringTok"/>
        </w:rPr>
        <w:t xml:space="preserve">'y'</w:t>
      </w:r>
      <w:r>
        <w:rPr>
          <w:rStyle w:val="NormalTok"/>
        </w:rPr>
        <w:t xml:space="preserve">: </w:t>
      </w:r>
      <w:r>
        <w:rPr>
          <w:rStyle w:val="DecValTok"/>
        </w:rPr>
        <w:t xml:space="preserve">512</w:t>
      </w:r>
      <w:r>
        <w:rPr>
          <w:rStyle w:val="NormalTok"/>
        </w:rPr>
        <w:t xml:space="preserve">})</w:t>
      </w:r>
      <w:r>
        <w:br/>
      </w:r>
      <w:r>
        <w:rPr>
          <w:rStyle w:val="CommentTok"/>
        </w:rPr>
        <w:t xml:space="preserve"># Atributos CF-1.8: Conventions, institution, creator_name, crs_origen, ...</w:t>
      </w:r>
      <w:r>
        <w:br/>
      </w:r>
      <w:r>
        <w:rPr>
          <w:rStyle w:val="CommentTok"/>
        </w:rPr>
        <w:t xml:space="preserve"># Acceso perezoso por chunks; .compute() materializa cuando es necesario</w:t>
      </w:r>
      <w:r>
        <w:br/>
      </w:r>
      <w:r>
        <w:rPr>
          <w:rStyle w:val="NormalTok"/>
        </w:rPr>
        <w:t xml:space="preserve">ndvi_serie </w:t>
      </w:r>
      <w:r>
        <w:rPr>
          <w:rStyle w:val="OperatorTok"/>
        </w:rPr>
        <w:t xml:space="preserve">=</w:t>
      </w:r>
      <w:r>
        <w:rPr>
          <w:rStyle w:val="NormalTok"/>
        </w:rPr>
        <w:t xml:space="preserve"> ds[</w:t>
      </w:r>
      <w:r>
        <w:rPr>
          <w:rStyle w:val="StringTok"/>
        </w:rPr>
        <w:t xml:space="preserve">'reflectance'</w:t>
      </w:r>
      <w:r>
        <w:rPr>
          <w:rStyle w:val="NormalTok"/>
        </w:rPr>
        <w:t xml:space="preserve">].sel(band_idx</w:t>
      </w:r>
      <w:r>
        <w:rPr>
          <w:rStyle w:val="OperatorTok"/>
        </w:rPr>
        <w:t xml:space="preserve">=</w:t>
      </w:r>
      <w:r>
        <w:rPr>
          <w:rStyle w:val="StringTok"/>
        </w:rPr>
        <w:t xml:space="preserve">'NDVI'</w:t>
      </w:r>
      <w:r>
        <w:rPr>
          <w:rStyle w:val="NormalTok"/>
        </w:rPr>
        <w:t xml:space="preserve">).median(dim</w:t>
      </w:r>
      <w:r>
        <w:rPr>
          <w:rStyle w:val="OperatorTok"/>
        </w:rPr>
        <w:t xml:space="preserve">=</w:t>
      </w:r>
      <w:r>
        <w:rPr>
          <w:rStyle w:val="NormalTok"/>
        </w:rPr>
        <w:t xml:space="preserve">[</w:t>
      </w:r>
      <w:r>
        <w:rPr>
          <w:rStyle w:val="StringTok"/>
        </w:rPr>
        <w:t xml:space="preserve">'x'</w:t>
      </w:r>
      <w:r>
        <w:rPr>
          <w:rStyle w:val="NormalTok"/>
        </w:rPr>
        <w:t xml:space="preserve">,</w:t>
      </w:r>
      <w:r>
        <w:rPr>
          <w:rStyle w:val="StringTok"/>
        </w:rPr>
        <w:t xml:space="preserve">'y'</w:t>
      </w:r>
      <w:r>
        <w:rPr>
          <w:rStyle w:val="NormalTok"/>
        </w:rPr>
        <w:t xml:space="preserve">]).compute()</w:t>
      </w:r>
    </w:p>
    <w:bookmarkEnd w:id="144"/>
    <w:bookmarkStart w:id="145" w:name="Xfeb72fc2201e9c1da4ed9ebedc0ab7adc64d185"/>
    <w:p>
      <w:pPr>
        <w:pStyle w:val="Heading3"/>
      </w:pPr>
      <w:r>
        <w:t xml:space="preserve">16.1.2 E.1.b Z-scores y detección de anomalías NDVI en Python</w:t>
      </w:r>
    </w:p>
    <w:p>
      <w:pPr>
        <w:pStyle w:val="FirstParagraph"/>
      </w:pPr>
      <w:r>
        <w:t xml:space="preserve">Sobre la serie combinada Landsat 8 + Sentinel-2 (929 observaciónes mensuales) se calcula el z-score temporal por estación mediante</w:t>
      </w:r>
      <w:r>
        <w:t xml:space="preserve"> </w:t>
      </w:r>
      <w:r>
        <w:rPr>
          <w:rStyle w:val="VerbatimChar"/>
        </w:rPr>
        <w:t xml:space="preserve">groupby().transform()</w:t>
      </w:r>
      <w:r>
        <w:t xml:space="preserve">, lo que permite identificar las anomalías pronunciadas como aquellas con</w:t>
      </w:r>
      <w:r>
        <w:t xml:space="preserve"> </w:t>
      </w:r>
      <m:oMath>
        <m:r>
          <m:t>z</m:t>
        </m:r>
        <m:r>
          <m:rPr>
            <m:sty m:val="p"/>
          </m:rPr>
          <m:t>&lt;</m:t>
        </m:r>
        <m:r>
          <m:rPr>
            <m:sty m:val="p"/>
          </m:rPr>
          <m:t>−</m:t>
        </m:r>
        <m:r>
          <m:t>2</m:t>
        </m:r>
      </m:oMath>
      <w:r>
        <w:t xml:space="preserve">. El resultado alimenta tanto la tabla de eventos de mortandad reportados en la Fase 2 como la lógica del módulo de alertas tempranas del Nivel 2 del Digital Twin.</w:t>
      </w:r>
    </w:p>
    <w:p>
      <w:pPr>
        <w:pStyle w:val="SourceCode"/>
      </w:pPr>
      <w:r>
        <w:rPr>
          <w:rStyle w:val="CommentTok"/>
        </w:rPr>
        <w:t xml:space="preserve"># Z-scores y detección de anomalias por estación</w:t>
      </w:r>
      <w:r>
        <w:br/>
      </w:r>
      <w:r>
        <w:rPr>
          <w:rStyle w:val="NormalTok"/>
        </w:rPr>
        <w:t xml:space="preserve">df[</w:t>
      </w:r>
      <w:r>
        <w:rPr>
          <w:rStyle w:val="StringTok"/>
        </w:rPr>
        <w:t xml:space="preserve">'z_score'</w:t>
      </w:r>
      <w:r>
        <w:rPr>
          <w:rStyle w:val="NormalTok"/>
        </w:rPr>
        <w:t xml:space="preserve">] </w:t>
      </w:r>
      <w:r>
        <w:rPr>
          <w:rStyle w:val="OperatorTok"/>
        </w:rPr>
        <w:t xml:space="preserve">=</w:t>
      </w:r>
      <w:r>
        <w:rPr>
          <w:rStyle w:val="NormalTok"/>
        </w:rPr>
        <w:t xml:space="preserve"> df.groupby(</w:t>
      </w:r>
      <w:r>
        <w:rPr>
          <w:rStyle w:val="StringTok"/>
        </w:rPr>
        <w:t xml:space="preserve">'estación'</w:t>
      </w:r>
      <w:r>
        <w:rPr>
          <w:rStyle w:val="NormalTok"/>
        </w:rPr>
        <w:t xml:space="preserve">)[</w:t>
      </w:r>
      <w:r>
        <w:rPr>
          <w:rStyle w:val="StringTok"/>
        </w:rPr>
        <w:t xml:space="preserve">'ndvi'</w:t>
      </w:r>
      <w:r>
        <w:rPr>
          <w:rStyle w:val="NormalTok"/>
        </w:rPr>
        <w:t xml:space="preserve">].transform(</w:t>
      </w:r>
      <w:r>
        <w:br/>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x.mean()) </w:t>
      </w:r>
      <w:r>
        <w:rPr>
          <w:rStyle w:val="OperatorTok"/>
        </w:rPr>
        <w:t xml:space="preserve">/</w:t>
      </w:r>
      <w:r>
        <w:rPr>
          <w:rStyle w:val="NormalTok"/>
        </w:rPr>
        <w:t xml:space="preserve"> x.std())</w:t>
      </w:r>
      <w:r>
        <w:br/>
      </w:r>
      <w:r>
        <w:rPr>
          <w:rStyle w:val="NormalTok"/>
        </w:rPr>
        <w:t xml:space="preserve">anomalias </w:t>
      </w:r>
      <w:r>
        <w:rPr>
          <w:rStyle w:val="OperatorTok"/>
        </w:rPr>
        <w:t xml:space="preserve">=</w:t>
      </w:r>
      <w:r>
        <w:rPr>
          <w:rStyle w:val="NormalTok"/>
        </w:rPr>
        <w:t xml:space="preserve"> df[df[</w:t>
      </w:r>
      <w:r>
        <w:rPr>
          <w:rStyle w:val="StringTok"/>
        </w:rPr>
        <w:t xml:space="preserve">'z_score'</w:t>
      </w:r>
      <w:r>
        <w:rPr>
          <w:rStyle w:val="NormalTok"/>
        </w:rPr>
        <w:t xml:space="preserve">] </w:t>
      </w:r>
      <w:r>
        <w:rPr>
          <w:rStyle w:val="OperatorTok"/>
        </w:rPr>
        <w:t xml:space="preserve">&lt;</w:t>
      </w:r>
      <w:r>
        <w:rPr>
          <w:rStyle w:val="NormalTok"/>
        </w:rPr>
        <w:t xml:space="preserve"> </w:t>
      </w:r>
      <w:r>
        <w:rPr>
          <w:rStyle w:val="OperatorTok"/>
        </w:rPr>
        <w:t xml:space="preserve">-</w:t>
      </w:r>
      <w:r>
        <w:rPr>
          <w:rStyle w:val="DecValTok"/>
        </w:rPr>
        <w:t xml:space="preserve">2</w:t>
      </w:r>
      <w:r>
        <w:rPr>
          <w:rStyle w:val="NormalTok"/>
        </w:rPr>
        <w:t xml:space="preserve">].sort_values(</w:t>
      </w:r>
      <w:r>
        <w:rPr>
          <w:rStyle w:val="StringTok"/>
        </w:rPr>
        <w:t xml:space="preserve">'z_score'</w:t>
      </w:r>
      <w:r>
        <w:rPr>
          <w:rStyle w:val="NormalTok"/>
        </w:rPr>
        <w:t xml:space="preserve">)</w:t>
      </w:r>
    </w:p>
    <w:bookmarkEnd w:id="145"/>
    <w:bookmarkStart w:id="146" w:name="X44205112256e9dc8e51effec831e909c6271553"/>
    <w:p>
      <w:pPr>
        <w:pStyle w:val="Heading3"/>
      </w:pPr>
      <w:r>
        <w:t xml:space="preserve">16.1.3 E.1.c Cubo</w:t>
      </w:r>
      <w:r>
        <w:t xml:space="preserve"> </w:t>
      </w:r>
      <w:r>
        <w:rPr>
          <w:rStyle w:val="VerbatimChar"/>
        </w:rPr>
        <w:t xml:space="preserve">stars</w:t>
      </w:r>
      <w:r>
        <w:t xml:space="preserve"> </w:t>
      </w:r>
      <w:r>
        <w:t xml:space="preserve">en R y extracción sobre estaciones INVEMAR</w:t>
      </w:r>
    </w:p>
    <w:p>
      <w:pPr>
        <w:pStyle w:val="FirstParagraph"/>
      </w:pPr>
      <w:r>
        <w:t xml:space="preserve">Como contraparte local del flujo Python+GEE de la Fase 2, los TIFs trimestrales descargados desde GEE se ensamblan en R como un cubo</w:t>
      </w:r>
      <w:r>
        <w:t xml:space="preserve"> </w:t>
      </w:r>
      <w:r>
        <w:rPr>
          <w:rStyle w:val="VerbatimChar"/>
        </w:rPr>
        <w:t xml:space="preserve">stars</w:t>
      </w:r>
      <w:r>
        <w:t xml:space="preserve"> </w:t>
      </w:r>
      <w:r>
        <w:t xml:space="preserve">proxy —con evaluación perezosa hasta que</w:t>
      </w:r>
      <w:r>
        <w:t xml:space="preserve"> </w:t>
      </w:r>
      <w:r>
        <w:rPr>
          <w:rStyle w:val="VerbatimChar"/>
        </w:rPr>
        <w:t xml:space="preserve">st_extract</w:t>
      </w:r>
      <w:r>
        <w:t xml:space="preserve"> </w:t>
      </w:r>
      <w:r>
        <w:t xml:space="preserve">materializa los valores sobre las ocho estaciones INVEMAR—. La salida</w:t>
      </w:r>
      <w:r>
        <w:t xml:space="preserve"> </w:t>
      </w:r>
      <w:r>
        <w:rPr>
          <w:rStyle w:val="VerbatimChar"/>
        </w:rPr>
        <w:t xml:space="preserve">series_temporales_stars.csv</w:t>
      </w:r>
      <w:r>
        <w:t xml:space="preserve"> </w:t>
      </w:r>
      <w:r>
        <w:t xml:space="preserve">se contrasta contra</w:t>
      </w:r>
      <w:r>
        <w:t xml:space="preserve"> </w:t>
      </w:r>
      <w:r>
        <w:rPr>
          <w:rStyle w:val="VerbatimChar"/>
        </w:rPr>
        <w:t xml:space="preserve">serie_temporal_ndvi_definitiva.csv</w:t>
      </w:r>
      <w:r>
        <w:t xml:space="preserve"> </w:t>
      </w:r>
      <w:r>
        <w:t xml:space="preserve">para sostener la validación cruzada multilingüe Python ↔ R reportada en la sección homónima.</w:t>
      </w:r>
    </w:p>
    <w:p>
      <w:pPr>
        <w:pStyle w:val="SourceCode"/>
      </w:pPr>
      <w:r>
        <w:rPr>
          <w:rStyle w:val="FunctionTok"/>
        </w:rPr>
        <w:t xml:space="preserve">library</w:t>
      </w:r>
      <w:r>
        <w:rPr>
          <w:rStyle w:val="NormalTok"/>
        </w:rPr>
        <w:t xml:space="preserve">(stars); </w:t>
      </w:r>
      <w:r>
        <w:rPr>
          <w:rStyle w:val="FunctionTok"/>
        </w:rPr>
        <w:t xml:space="preserve">library</w:t>
      </w:r>
      <w:r>
        <w:rPr>
          <w:rStyle w:val="NormalTok"/>
        </w:rPr>
        <w:t xml:space="preserve">(sf); </w:t>
      </w:r>
      <w:r>
        <w:rPr>
          <w:rStyle w:val="FunctionTok"/>
        </w:rPr>
        <w:t xml:space="preserve">library</w:t>
      </w:r>
      <w:r>
        <w:rPr>
          <w:rStyle w:val="NormalTok"/>
        </w:rPr>
        <w:t xml:space="preserve">(dplyr)</w:t>
      </w:r>
      <w:r>
        <w:br/>
      </w:r>
      <w:r>
        <w:rPr>
          <w:rStyle w:val="NormalTok"/>
        </w:rPr>
        <w:t xml:space="preserve">tifs   </w:t>
      </w:r>
      <w:r>
        <w:rPr>
          <w:rStyle w:val="OtherTok"/>
        </w:rPr>
        <w:t xml:space="preserve">&lt;-</w:t>
      </w:r>
      <w:r>
        <w:rPr>
          <w:rStyle w:val="NormalTok"/>
        </w:rPr>
        <w:t xml:space="preserve"> </w:t>
      </w:r>
      <w:r>
        <w:rPr>
          <w:rStyle w:val="FunctionTok"/>
        </w:rPr>
        <w:t xml:space="preserve">list.files</w:t>
      </w:r>
      <w:r>
        <w:rPr>
          <w:rStyle w:val="NormalTok"/>
        </w:rPr>
        <w:t xml:space="preserve">(</w:t>
      </w:r>
      <w:r>
        <w:rPr>
          <w:rStyle w:val="StringTok"/>
        </w:rPr>
        <w:t xml:space="preserve">"data/processed/s2"</w:t>
      </w:r>
      <w:r>
        <w:rPr>
          <w:rStyle w:val="NormalTok"/>
        </w:rPr>
        <w:t xml:space="preserve">, </w:t>
      </w:r>
      <w:r>
        <w:rPr>
          <w:rStyle w:val="AttributeTok"/>
        </w:rPr>
        <w:t xml:space="preserve">pattern =</w:t>
      </w:r>
      <w:r>
        <w:rPr>
          <w:rStyle w:val="NormalTok"/>
        </w:rPr>
        <w:t xml:space="preserve"> </w:t>
      </w:r>
      <w:r>
        <w:rPr>
          <w:rStyle w:val="StringTok"/>
        </w:rPr>
        <w:t xml:space="preserve">"NDVI.*</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fechas </w:t>
      </w:r>
      <w:r>
        <w:rPr>
          <w:rStyle w:val="OtherTok"/>
        </w:rPr>
        <w:t xml:space="preserve">&lt;-</w:t>
      </w:r>
      <w:r>
        <w:rPr>
          <w:rStyle w:val="NormalTok"/>
        </w:rPr>
        <w:t xml:space="preserve"> </w:t>
      </w:r>
      <w:r>
        <w:rPr>
          <w:rStyle w:val="FunctionTok"/>
        </w:rPr>
        <w:t xml:space="preserve">as.Date</w:t>
      </w:r>
      <w:r>
        <w:rPr>
          <w:rStyle w:val="NormalTok"/>
        </w:rPr>
        <w:t xml:space="preserve">(stringr</w:t>
      </w:r>
      <w:r>
        <w:rPr>
          <w:rStyle w:val="SpecialCharTok"/>
        </w:rPr>
        <w:t xml:space="preserve">::</w:t>
      </w:r>
      <w:r>
        <w:rPr>
          <w:rStyle w:val="FunctionTok"/>
        </w:rPr>
        <w:t xml:space="preserve">str_match</w:t>
      </w:r>
      <w:r>
        <w:rPr>
          <w:rStyle w:val="NormalTok"/>
        </w:rPr>
        <w:t xml:space="preserve">(</w:t>
      </w:r>
      <w:r>
        <w:rPr>
          <w:rStyle w:val="FunctionTok"/>
        </w:rPr>
        <w:t xml:space="preserve">basename</w:t>
      </w:r>
      <w:r>
        <w:rPr>
          <w:rStyle w:val="NormalTok"/>
        </w:rPr>
        <w:t xml:space="preserve">(tifs), </w:t>
      </w:r>
      <w:r>
        <w:rPr>
          <w:rStyle w:val="StringTok"/>
        </w:rPr>
        <w:t xml:space="preserve">"(</w:t>
      </w:r>
      <w:r>
        <w:rPr>
          <w:rStyle w:val="SpecialCharTok"/>
        </w:rPr>
        <w:t xml:space="preserve">\\</w:t>
      </w:r>
      <w:r>
        <w:rPr>
          <w:rStyle w:val="StringTok"/>
        </w:rPr>
        <w:t xml:space="preserve">d{4})_Q(</w:t>
      </w:r>
      <w:r>
        <w:rPr>
          <w:rStyle w:val="SpecialCharTok"/>
        </w:rPr>
        <w:t xml:space="preserve">\\</w:t>
      </w:r>
      <w:r>
        <w:rPr>
          <w:rStyle w:val="StringTok"/>
        </w:rPr>
        <w:t xml:space="preserve">d)"</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cubo   </w:t>
      </w:r>
      <w:r>
        <w:rPr>
          <w:rStyle w:val="OtherTok"/>
        </w:rPr>
        <w:t xml:space="preserve">&lt;-</w:t>
      </w:r>
      <w:r>
        <w:rPr>
          <w:rStyle w:val="NormalTok"/>
        </w:rPr>
        <w:t xml:space="preserve"> </w:t>
      </w:r>
      <w:r>
        <w:rPr>
          <w:rStyle w:val="FunctionTok"/>
        </w:rPr>
        <w:t xml:space="preserve">read_stars</w:t>
      </w:r>
      <w:r>
        <w:rPr>
          <w:rStyle w:val="NormalTok"/>
        </w:rPr>
        <w:t xml:space="preserve">(tifs, </w:t>
      </w:r>
      <w:r>
        <w:rPr>
          <w:rStyle w:val="AttributeTok"/>
        </w:rPr>
        <w:t xml:space="preserve">along =</w:t>
      </w:r>
      <w:r>
        <w:rPr>
          <w:rStyle w:val="NormalTok"/>
        </w:rPr>
        <w:t xml:space="preserve"> </w:t>
      </w:r>
      <w:r>
        <w:rPr>
          <w:rStyle w:val="FunctionTok"/>
        </w:rPr>
        <w:t xml:space="preserve">list</w:t>
      </w:r>
      <w:r>
        <w:rPr>
          <w:rStyle w:val="NormalTok"/>
        </w:rPr>
        <w:t xml:space="preserve">(</w:t>
      </w:r>
      <w:r>
        <w:rPr>
          <w:rStyle w:val="AttributeTok"/>
        </w:rPr>
        <w:t xml:space="preserve">time =</w:t>
      </w:r>
      <w:r>
        <w:rPr>
          <w:rStyle w:val="NormalTok"/>
        </w:rPr>
        <w:t xml:space="preserve"> fechas), </w:t>
      </w:r>
      <w:r>
        <w:rPr>
          <w:rStyle w:val="AttributeTok"/>
        </w:rPr>
        <w:t xml:space="preserve">proxy =</w:t>
      </w:r>
      <w:r>
        <w:rPr>
          <w:rStyle w:val="NormalTok"/>
        </w:rPr>
        <w:t xml:space="preserve"> </w:t>
      </w:r>
      <w:r>
        <w:rPr>
          <w:rStyle w:val="ConstantTok"/>
        </w:rPr>
        <w:t xml:space="preserve">TRUE</w:t>
      </w:r>
      <w:r>
        <w:rPr>
          <w:rStyle w:val="NormalTok"/>
        </w:rPr>
        <w:t xml:space="preserve">)</w:t>
      </w:r>
      <w:r>
        <w:br/>
      </w:r>
      <w:r>
        <w:rPr>
          <w:rStyle w:val="NormalTok"/>
        </w:rPr>
        <w:t xml:space="preserve">serie  </w:t>
      </w:r>
      <w:r>
        <w:rPr>
          <w:rStyle w:val="OtherTok"/>
        </w:rPr>
        <w:t xml:space="preserve">&lt;-</w:t>
      </w:r>
      <w:r>
        <w:rPr>
          <w:rStyle w:val="NormalTok"/>
        </w:rPr>
        <w:t xml:space="preserve"> </w:t>
      </w:r>
      <w:r>
        <w:rPr>
          <w:rStyle w:val="FunctionTok"/>
        </w:rPr>
        <w:t xml:space="preserve">st_extract</w:t>
      </w:r>
      <w:r>
        <w:rPr>
          <w:rStyle w:val="NormalTok"/>
        </w:rPr>
        <w:t xml:space="preserve">(cubo, </w:t>
      </w:r>
      <w:r>
        <w:rPr>
          <w:rStyle w:val="FunctionTok"/>
        </w:rPr>
        <w:t xml:space="preserve">st_transform</w:t>
      </w:r>
      <w:r>
        <w:rPr>
          <w:rStyle w:val="NormalTok"/>
        </w:rPr>
        <w:t xml:space="preserve">(estaciones_sf, </w:t>
      </w:r>
      <w:r>
        <w:rPr>
          <w:rStyle w:val="FunctionTok"/>
        </w:rPr>
        <w:t xml:space="preserve">st_crs</w:t>
      </w:r>
      <w:r>
        <w:rPr>
          <w:rStyle w:val="NormalTok"/>
        </w:rPr>
        <w:t xml:space="preserve">(cubo)))</w:t>
      </w:r>
    </w:p>
    <w:bookmarkEnd w:id="146"/>
    <w:bookmarkStart w:id="147" w:name="X231786d8da045f22cfb6544a59075b666112cdb"/>
    <w:p>
      <w:pPr>
        <w:pStyle w:val="Heading3"/>
      </w:pPr>
      <w:r>
        <w:t xml:space="preserve">16.1.4 E.1.d Construcción de la colección Sentinel-2 SR Harmonized y cálculo de índices</w:t>
      </w:r>
    </w:p>
    <w:p>
      <w:pPr>
        <w:pStyle w:val="FirstParagraph"/>
      </w:pPr>
      <w:r>
        <w:t xml:space="preserve">La colección óptica del proyecto se arma en Google Earth Engine filtrando</w:t>
      </w:r>
      <w:r>
        <w:t xml:space="preserve"> </w:t>
      </w:r>
      <w:r>
        <w:rPr>
          <w:rStyle w:val="VerbatimChar"/>
        </w:rPr>
        <w:t xml:space="preserve">COPERNICUS/S2_SR_HARMONIZED</w:t>
      </w:r>
      <w:r>
        <w:t xml:space="preserve"> </w:t>
      </w:r>
      <w: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rPr>
        <w:t xml:space="preserve"># Construir coleccion S2 SR Harmonized y agregar tres indices espectrales</w:t>
      </w:r>
      <w:r>
        <w:br/>
      </w:r>
      <w:r>
        <w:rPr>
          <w:rStyle w:val="KeywordTok"/>
        </w:rPr>
        <w:t xml:space="preserve">def</w:t>
      </w:r>
      <w:r>
        <w:rPr>
          <w:rStyle w:val="NormalTok"/>
        </w:rPr>
        <w:t xml:space="preserve"> add_indices(image):</w:t>
      </w:r>
      <w:r>
        <w:br/>
      </w:r>
      <w:r>
        <w:rPr>
          <w:rStyle w:val="NormalTok"/>
        </w:rPr>
        <w:t xml:space="preserve">    ndvi </w:t>
      </w:r>
      <w:r>
        <w:rPr>
          <w:rStyle w:val="OperatorTok"/>
        </w:rPr>
        <w:t xml:space="preserve">=</w:t>
      </w:r>
      <w:r>
        <w:rPr>
          <w:rStyle w:val="NormalTok"/>
        </w:rPr>
        <w:t xml:space="preserve"> image.normalizedDifference([</w:t>
      </w:r>
      <w:r>
        <w:rPr>
          <w:rStyle w:val="StringTok"/>
        </w:rPr>
        <w:t xml:space="preserve">'B8'</w:t>
      </w:r>
      <w:r>
        <w:rPr>
          <w:rStyle w:val="NormalTok"/>
        </w:rPr>
        <w:t xml:space="preserve">, </w:t>
      </w:r>
      <w:r>
        <w:rPr>
          <w:rStyle w:val="StringTok"/>
        </w:rPr>
        <w:t xml:space="preserve">'B4'</w:t>
      </w:r>
      <w:r>
        <w:rPr>
          <w:rStyle w:val="NormalTok"/>
        </w:rPr>
        <w:t xml:space="preserve">]).rename(</w:t>
      </w:r>
      <w:r>
        <w:rPr>
          <w:rStyle w:val="StringTok"/>
        </w:rPr>
        <w:t xml:space="preserve">'NDVI'</w:t>
      </w:r>
      <w:r>
        <w:rPr>
          <w:rStyle w:val="NormalTok"/>
        </w:rPr>
        <w:t xml:space="preserve">)</w:t>
      </w:r>
      <w:r>
        <w:br/>
      </w:r>
      <w:r>
        <w:rPr>
          <w:rStyle w:val="NormalTok"/>
        </w:rPr>
        <w:t xml:space="preserve">    ndwi </w:t>
      </w:r>
      <w:r>
        <w:rPr>
          <w:rStyle w:val="OperatorTok"/>
        </w:rPr>
        <w:t xml:space="preserve">=</w:t>
      </w:r>
      <w:r>
        <w:rPr>
          <w:rStyle w:val="NormalTok"/>
        </w:rPr>
        <w:t xml:space="preserve"> image.normalizedDifference([</w:t>
      </w:r>
      <w:r>
        <w:rPr>
          <w:rStyle w:val="StringTok"/>
        </w:rPr>
        <w:t xml:space="preserve">'B3'</w:t>
      </w:r>
      <w:r>
        <w:rPr>
          <w:rStyle w:val="NormalTok"/>
        </w:rPr>
        <w:t xml:space="preserve">, </w:t>
      </w:r>
      <w:r>
        <w:rPr>
          <w:rStyle w:val="StringTok"/>
        </w:rPr>
        <w:t xml:space="preserve">'B8'</w:t>
      </w:r>
      <w:r>
        <w:rPr>
          <w:rStyle w:val="NormalTok"/>
        </w:rPr>
        <w:t xml:space="preserve">]).rename(</w:t>
      </w:r>
      <w:r>
        <w:rPr>
          <w:rStyle w:val="StringTok"/>
        </w:rPr>
        <w:t xml:space="preserve">'NDWI'</w:t>
      </w:r>
      <w:r>
        <w:rPr>
          <w:rStyle w:val="NormalTok"/>
        </w:rPr>
        <w:t xml:space="preserve">)</w:t>
      </w:r>
      <w:r>
        <w:br/>
      </w:r>
      <w:r>
        <w:rPr>
          <w:rStyle w:val="NormalTok"/>
        </w:rPr>
        <w:t xml:space="preserve">    cmri </w:t>
      </w:r>
      <w:r>
        <w:rPr>
          <w:rStyle w:val="OperatorTok"/>
        </w:rPr>
        <w:t xml:space="preserve">=</w:t>
      </w:r>
      <w:r>
        <w:rPr>
          <w:rStyle w:val="NormalTok"/>
        </w:rPr>
        <w:t xml:space="preserve"> ndvi.subtract(ndwi).rename(</w:t>
      </w:r>
      <w:r>
        <w:rPr>
          <w:rStyle w:val="StringTok"/>
        </w:rPr>
        <w:t xml:space="preserve">'CMRI'</w:t>
      </w:r>
      <w:r>
        <w:rPr>
          <w:rStyle w:val="NormalTok"/>
        </w:rPr>
        <w:t xml:space="preserve">)</w:t>
      </w:r>
      <w:r>
        <w:br/>
      </w:r>
      <w:r>
        <w:rPr>
          <w:rStyle w:val="NormalTok"/>
        </w:rPr>
        <w:t xml:space="preserve">    </w:t>
      </w:r>
      <w:r>
        <w:rPr>
          <w:rStyle w:val="ControlFlowTok"/>
        </w:rPr>
        <w:t xml:space="preserve">return</w:t>
      </w:r>
      <w:r>
        <w:rPr>
          <w:rStyle w:val="NormalTok"/>
        </w:rPr>
        <w:t xml:space="preserve"> image.addBands([ndvi, ndwi, cmri])</w:t>
      </w:r>
      <w:r>
        <w:br/>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rPr>
          <w:rStyle w:val="NormalTok"/>
        </w:rPr>
        <w:t xml:space="preserve">        .filterBounds(aoi)</w:t>
      </w:r>
      <w:r>
        <w:br/>
      </w:r>
      <w:r>
        <w:rPr>
          <w:rStyle w:val="NormalTok"/>
        </w:rPr>
        <w:t xml:space="preserve">        .filterDate(</w:t>
      </w:r>
      <w:r>
        <w:rPr>
          <w:rStyle w:val="StringTok"/>
        </w:rPr>
        <w:t xml:space="preserve">'2018-01-01'</w:t>
      </w:r>
      <w:r>
        <w:rPr>
          <w:rStyle w:val="NormalTok"/>
        </w:rPr>
        <w:t xml:space="preserve">, </w:t>
      </w:r>
      <w:r>
        <w:rPr>
          <w:rStyle w:val="StringTok"/>
        </w:rPr>
        <w:t xml:space="preserve">'2025-12-31'</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BuiltInTok"/>
        </w:rPr>
        <w:t xml:space="preserve">map</w:t>
      </w:r>
      <w:r>
        <w:rPr>
          <w:rStyle w:val="NormalTok"/>
        </w:rPr>
        <w:t xml:space="preserve">(mask_s2_clouds)</w:t>
      </w:r>
      <w:r>
        <w:br/>
      </w:r>
      <w:r>
        <w:rPr>
          <w:rStyle w:val="NormalTok"/>
        </w:rPr>
        <w:t xml:space="preserve">        .</w:t>
      </w:r>
      <w:r>
        <w:rPr>
          <w:rStyle w:val="BuiltInTok"/>
        </w:rPr>
        <w:t xml:space="preserve">map</w:t>
      </w:r>
      <w:r>
        <w:rPr>
          <w:rStyle w:val="NormalTok"/>
        </w:rPr>
        <w:t xml:space="preserve">(add_indices))</w:t>
      </w:r>
    </w:p>
    <w:bookmarkEnd w:id="147"/>
    <w:bookmarkStart w:id="148" w:name="X4eca77374d8b0e779af7afe908a4b7ed04f26a6"/>
    <w:p>
      <w:pPr>
        <w:pStyle w:val="Heading3"/>
      </w:pPr>
      <w:r>
        <w:t xml:space="preserve">16.1.5 E.1.e Detección de quiebres estructurales con bfast en R</w:t>
      </w:r>
    </w:p>
    <w:p>
      <w:pPr>
        <w:pStyle w:val="FirstParagraph"/>
      </w:pPr>
      <w:r>
        <w:t xml:space="preserve">Sobre las series mensuales combinadas Landsat 8 + Sentinel-2 (929 observaciones) se aplica el algoritmo</w:t>
      </w:r>
      <w:r>
        <w:t xml:space="preserve"> </w:t>
      </w:r>
      <w:r>
        <w:rPr>
          <w:rStyle w:val="VerbatimChar"/>
        </w:rPr>
        <w:t xml:space="preserve">bfast::bfast</w:t>
      </w:r>
      <w:r>
        <w:t xml:space="preserve"> </w:t>
      </w:r>
      <w:r>
        <w:t xml:space="preserve">con</w:t>
      </w:r>
      <w:r>
        <w:t xml:space="preserve"> </w:t>
      </w:r>
      <w:r>
        <w:rPr>
          <w:rStyle w:val="VerbatimChar"/>
        </w:rPr>
        <w:t xml:space="preserve">h = 0,10</w:t>
      </w:r>
      <w:r>
        <w:t xml:space="preserve"> </w:t>
      </w:r>
      <w:r>
        <w:t xml:space="preserve">y descomposición armónica en dos iteraciones, lo que arroja los quiebres asociados a El Niño 2015–2016, La Niña 2020–2021 y El Niño 2023–2024.</w:t>
      </w:r>
    </w:p>
    <w:p>
      <w:pPr>
        <w:pStyle w:val="SourceCode"/>
      </w:pPr>
      <w:r>
        <w:rPr>
          <w:rStyle w:val="FunctionTok"/>
        </w:rPr>
        <w:t xml:space="preserve">library</w:t>
      </w:r>
      <w:r>
        <w:rPr>
          <w:rStyle w:val="NormalTok"/>
        </w:rPr>
        <w:t xml:space="preserve">(bfast)</w:t>
      </w:r>
      <w:r>
        <w:br/>
      </w:r>
      <w:r>
        <w:rPr>
          <w:rStyle w:val="NormalTok"/>
        </w:rPr>
        <w:t xml:space="preserve">serie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"outputs/tables/serie_temporal_ndvi_combinada.csv"</w:t>
      </w:r>
      <w:r>
        <w:rPr>
          <w:rStyle w:val="NormalTok"/>
        </w:rPr>
        <w:t xml:space="preserve">)</w:t>
      </w:r>
      <w:r>
        <w:br/>
      </w:r>
      <w:r>
        <w:rPr>
          <w:rStyle w:val="NormalTok"/>
        </w:rPr>
        <w:t xml:space="preserve">ts_est </w:t>
      </w:r>
      <w:r>
        <w:rPr>
          <w:rStyle w:val="OtherTok"/>
        </w:rPr>
        <w:t xml:space="preserve">&lt;-</w:t>
      </w:r>
      <w:r>
        <w:rPr>
          <w:rStyle w:val="NormalTok"/>
        </w:rPr>
        <w:t xml:space="preserve"> </w:t>
      </w:r>
      <w:r>
        <w:rPr>
          <w:rStyle w:val="FunctionTok"/>
        </w:rPr>
        <w:t xml:space="preserve">ts</w:t>
      </w:r>
      <w:r>
        <w:rPr>
          <w:rStyle w:val="NormalTok"/>
        </w:rPr>
        <w:t xml:space="preserve">(</w:t>
      </w:r>
      <w:r>
        <w:rPr>
          <w:rStyle w:val="FunctionTok"/>
        </w:rPr>
        <w:t xml:space="preserve">subset</w:t>
      </w:r>
      <w:r>
        <w:rPr>
          <w:rStyle w:val="NormalTok"/>
        </w:rPr>
        <w:t xml:space="preserve">(serie, estación </w:t>
      </w:r>
      <w:r>
        <w:rPr>
          <w:rStyle w:val="SpecialCharTok"/>
        </w:rPr>
        <w:t xml:space="preserve">==</w:t>
      </w:r>
      <w:r>
        <w:rPr>
          <w:rStyle w:val="NormalTok"/>
        </w:rPr>
        <w:t xml:space="preserve"> </w:t>
      </w:r>
      <w:r>
        <w:rPr>
          <w:rStyle w:val="StringTok"/>
        </w:rPr>
        <w:t xml:space="preserve">"Cano_Palos"</w:t>
      </w:r>
      <w:r>
        <w:rPr>
          <w:rStyle w:val="NormalTok"/>
        </w:rPr>
        <w:t xml:space="preserve">)</w:t>
      </w:r>
      <w:r>
        <w:rPr>
          <w:rStyle w:val="SpecialCharTok"/>
        </w:rPr>
        <w:t xml:space="preserve">$</w:t>
      </w:r>
      <w:r>
        <w:rPr>
          <w:rStyle w:val="NormalTok"/>
        </w:rPr>
        <w:t xml:space="preserve">ndvi,</w:t>
      </w:r>
      <w:r>
        <w:br/>
      </w:r>
      <w:r>
        <w:rPr>
          <w:rStyle w:val="NormalTok"/>
        </w:rPr>
        <w:t xml:space="preserve">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2013</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bfast</w:t>
      </w:r>
      <w:r>
        <w:rPr>
          <w:rStyle w:val="NormalTok"/>
        </w:rPr>
        <w:t xml:space="preserve">(ts_est, </w:t>
      </w:r>
      <w:r>
        <w:rPr>
          <w:rStyle w:val="AttributeTok"/>
        </w:rPr>
        <w:t xml:space="preserve">h =</w:t>
      </w:r>
      <w:r>
        <w:rPr>
          <w:rStyle w:val="NormalTok"/>
        </w:rPr>
        <w:t xml:space="preserve"> </w:t>
      </w:r>
      <w:r>
        <w:rPr>
          <w:rStyle w:val="FloatTok"/>
        </w:rPr>
        <w:t xml:space="preserve">0.10</w:t>
      </w:r>
      <w:r>
        <w:rPr>
          <w:rStyle w:val="NormalTok"/>
        </w:rPr>
        <w:t xml:space="preserve">, </w:t>
      </w:r>
      <w:r>
        <w:rPr>
          <w:rStyle w:val="AttributeTok"/>
        </w:rPr>
        <w:t xml:space="preserve">season =</w:t>
      </w:r>
      <w:r>
        <w:rPr>
          <w:rStyle w:val="NormalTok"/>
        </w:rPr>
        <w:t xml:space="preserve"> </w:t>
      </w:r>
      <w:r>
        <w:rPr>
          <w:rStyle w:val="StringTok"/>
        </w:rPr>
        <w:t xml:space="preserve">"harmonic"</w:t>
      </w:r>
      <w:r>
        <w:rPr>
          <w:rStyle w:val="NormalTok"/>
        </w:rPr>
        <w:t xml:space="preserve">, </w:t>
      </w:r>
      <w:r>
        <w:rPr>
          <w:rStyle w:val="AttributeTok"/>
        </w:rPr>
        <w:t xml:space="preserve">max.iter =</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(fit)   </w:t>
      </w:r>
      <w:r>
        <w:rPr>
          <w:rStyle w:val="CommentTok"/>
        </w:rPr>
        <w:t xml:space="preserve"># quiebres 2016 (El Nino), 2020 (La Nina), 2023-24 (El Nino)</w:t>
      </w:r>
    </w:p>
    <w:bookmarkEnd w:id="148"/>
    <w:bookmarkEnd w:id="149"/>
    <w:bookmarkStart w:id="152" w:name="X5564c560101fed8ef34ec75486d574edcd53951"/>
    <w:p>
      <w:pPr>
        <w:pStyle w:val="Heading2"/>
      </w:pPr>
      <w:r>
        <w:t xml:space="preserve">16.2 E.2 Reproyección al sistema oficial colombiano y topología DE-9IM</w:t>
      </w:r>
    </w:p>
    <w:bookmarkStart w:id="150" w:name="X31781a5437144d837b45bd64f1f50d5cfbe2b9e"/>
    <w:p>
      <w:pPr>
        <w:pStyle w:val="Heading3"/>
      </w:pPr>
      <w:r>
        <w:t xml:space="preserve">16.2.1 E.2.a Lectura perezosa del raster, reproyección a EPSG:9377 y predicados topológicos</w:t>
      </w:r>
    </w:p>
    <w:p>
      <w:pPr>
        <w:pStyle w:val="FirstParagraph"/>
      </w:pPr>
      <w:r>
        <w:t xml:space="preserve">Los rasters de máscara producidos por SamGeo se inspeccionan abriendo el archivo con</w:t>
      </w:r>
      <w:r>
        <w:t xml:space="preserve"> </w:t>
      </w:r>
      <w:r>
        <w:rPr>
          <w:rStyle w:val="VerbatimChar"/>
        </w:rPr>
        <w:t xml:space="preserve">rasterio.open()</w:t>
      </w:r>
      <w:r>
        <w:t xml:space="preserve"> </w:t>
      </w:r>
      <w: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t xml:space="preserve"> </w:t>
      </w:r>
      <w:r>
        <w:rPr>
          <w:rStyle w:val="VerbatimChar"/>
        </w:rPr>
        <w:t xml:space="preserve">intersects</w:t>
      </w:r>
      <w:r>
        <w:t xml:space="preserve"> </w:t>
      </w:r>
      <w:r>
        <w:t xml:space="preserve">con la frontera del AOI y</w:t>
      </w:r>
      <w:r>
        <w:t xml:space="preserve"> </w:t>
      </w:r>
      <w:r>
        <w:rPr>
          <w:rStyle w:val="VerbatimChar"/>
        </w:rPr>
        <w:t xml:space="preserve">contains</w:t>
      </w:r>
      <w:r>
        <w:t xml:space="preserve"> </w:t>
      </w:r>
      <w:r>
        <w:t xml:space="preserve">con los puntos de muestreo INVEMAR, en ambos casos delegando en GEOS los mismos cálculos que sustentan PostGIS y JTS.</w:t>
      </w:r>
    </w:p>
    <w:p>
      <w:pPr>
        <w:pStyle w:val="SourceCode"/>
      </w:pPr>
      <w:r>
        <w:rPr>
          <w:rStyle w:val="ImportTok"/>
        </w:rPr>
        <w:t xml:space="preserve">from</w:t>
      </w:r>
      <w:r>
        <w:rPr>
          <w:rStyle w:val="NormalTok"/>
        </w:rPr>
        <w:t xml:space="preserve"> src.python.utils </w:t>
      </w:r>
      <w:r>
        <w:rPr>
          <w:rStyle w:val="ImportTok"/>
        </w:rPr>
        <w:t xml:space="preserve">import</w:t>
      </w:r>
      <w:r>
        <w:rPr>
          <w:rStyle w:val="NormalTok"/>
        </w:rPr>
        <w:t xml:space="preserve"> (</w:t>
      </w:r>
      <w:r>
        <w:br/>
      </w:r>
      <w:r>
        <w:rPr>
          <w:rStyle w:val="NormalTok"/>
        </w:rPr>
        <w:t xml:space="preserve">    raster_metadata, vector_to_9377, area_ha_9377,</w:t>
      </w:r>
      <w:r>
        <w:br/>
      </w:r>
      <w:r>
        <w:rPr>
          <w:rStyle w:val="NormalTok"/>
        </w:rPr>
        <w:t xml:space="preserve">    parches_borde, parches_con_punto, EPSG_NACIONAL,</w:t>
      </w:r>
      <w:r>
        <w:br/>
      </w:r>
      <w:r>
        <w:rPr>
          <w:rStyle w:val="NormalTok"/>
        </w:rPr>
        <w:t xml:space="preserve">)</w:t>
      </w:r>
      <w:r>
        <w:br/>
      </w:r>
      <w:r>
        <w:br/>
      </w:r>
      <w:r>
        <w:rPr>
          <w:rStyle w:val="CommentTok"/>
        </w:rPr>
        <w:t xml:space="preserve"># Inspeccion lazy del raster: metadatos sin cargar la grilla</w:t>
      </w:r>
      <w:r>
        <w:br/>
      </w:r>
      <w:r>
        <w:rPr>
          <w:rStyle w:val="NormalTok"/>
        </w:rPr>
        <w:t xml:space="preserve">meta </w:t>
      </w:r>
      <w:r>
        <w:rPr>
          <w:rStyle w:val="OperatorTok"/>
        </w:rPr>
        <w:t xml:space="preserve">=</w:t>
      </w:r>
      <w:r>
        <w:rPr>
          <w:rStyle w:val="NormalTok"/>
        </w:rPr>
        <w:t xml:space="preserve"> raster_metadata(</w:t>
      </w:r>
      <w:r>
        <w:rPr>
          <w:rStyle w:val="StringTok"/>
        </w:rPr>
        <w:t xml:space="preserve">'data/processed/samgeo/mask_actual.tif'</w:t>
      </w:r>
      <w:r>
        <w:rPr>
          <w:rStyle w:val="NormalTok"/>
        </w:rPr>
        <w:t xml:space="preserve">)</w:t>
      </w:r>
      <w:r>
        <w:br/>
      </w:r>
      <w:r>
        <w:br/>
      </w:r>
      <w:r>
        <w:rPr>
          <w:rStyle w:val="CommentTok"/>
        </w:rPr>
        <w:t xml:space="preserve"># Reproyeccion al sistema oficial colombiano MAGNA-SIRGAS</w:t>
      </w:r>
      <w:r>
        <w:br/>
      </w:r>
      <w:r>
        <w:rPr>
          <w:rStyle w:val="NormalTok"/>
        </w:rPr>
        <w:t xml:space="preserve">vector_to_9377(</w:t>
      </w:r>
      <w:r>
        <w:rPr>
          <w:rStyle w:val="StringTok"/>
        </w:rPr>
        <w:t xml:space="preserve">'data/processed/samgeo/manglar_actual.geojson'</w:t>
      </w:r>
      <w:r>
        <w:rPr>
          <w:rStyle w:val="NormalTok"/>
        </w:rPr>
        <w:t xml:space="preserve">,</w:t>
      </w:r>
      <w:r>
        <w:br/>
      </w:r>
      <w:r>
        <w:rPr>
          <w:rStyle w:val="NormalTok"/>
        </w:rPr>
        <w:t xml:space="preserve">               </w:t>
      </w:r>
      <w:r>
        <w:rPr>
          <w:rStyle w:val="StringTok"/>
        </w:rPr>
        <w:t xml:space="preserve">'data/processed/samgeo/manglar_actual_9377.geojson'</w:t>
      </w:r>
      <w:r>
        <w:rPr>
          <w:rStyle w:val="NormalTok"/>
        </w:rPr>
        <w:t xml:space="preserve">)</w:t>
      </w:r>
      <w:r>
        <w:br/>
      </w:r>
      <w:r>
        <w:br/>
      </w:r>
      <w:r>
        <w:rPr>
          <w:rStyle w:val="CommentTok"/>
        </w:rPr>
        <w:t xml:space="preserve"># Predicados topológicos DE-9IM sobre los parches reproyectados</w:t>
      </w:r>
      <w:r>
        <w:br/>
      </w:r>
      <w:r>
        <w:rPr>
          <w:rStyle w:val="NormalTok"/>
        </w:rPr>
        <w:t xml:space="preserve">gdf </w:t>
      </w:r>
      <w:r>
        <w:rPr>
          <w:rStyle w:val="OperatorTok"/>
        </w:rPr>
        <w:t xml:space="preserve">=</w:t>
      </w:r>
      <w:r>
        <w:rPr>
          <w:rStyle w:val="NormalTok"/>
        </w:rPr>
        <w:t xml:space="preserve"> area_ha_9377(gpd.read_file(</w:t>
      </w:r>
      <w:r>
        <w:rPr>
          <w:rStyle w:val="StringTok"/>
        </w:rPr>
        <w:t xml:space="preserve">'data/processed/samgeo/manglar_actual_9377.geojson'</w:t>
      </w:r>
      <w:r>
        <w:rPr>
          <w:rStyle w:val="NormalTok"/>
        </w:rPr>
        <w:t xml:space="preserve">))</w:t>
      </w:r>
      <w:r>
        <w:br/>
      </w:r>
      <w:r>
        <w:rPr>
          <w:rStyle w:val="NormalTok"/>
        </w:rPr>
        <w:t xml:space="preserve">gdf </w:t>
      </w:r>
      <w:r>
        <w:rPr>
          <w:rStyle w:val="OperatorTok"/>
        </w:rPr>
        <w:t xml:space="preserve">=</w:t>
      </w:r>
      <w:r>
        <w:rPr>
          <w:rStyle w:val="NormalTok"/>
        </w:rPr>
        <w:t xml:space="preserve"> parches_borde(gdf, aoi)             </w:t>
      </w:r>
      <w:r>
        <w:rPr>
          <w:rStyle w:val="CommentTok"/>
        </w:rPr>
        <w:t xml:space="preserve"># intersects con la frontera</w:t>
      </w:r>
      <w:r>
        <w:br/>
      </w:r>
      <w:r>
        <w:rPr>
          <w:rStyle w:val="NormalTok"/>
        </w:rPr>
        <w:t xml:space="preserve">gdf </w:t>
      </w:r>
      <w:r>
        <w:rPr>
          <w:rStyle w:val="OperatorTok"/>
        </w:rPr>
        <w:t xml:space="preserve">=</w:t>
      </w:r>
      <w:r>
        <w:rPr>
          <w:rStyle w:val="NormalTok"/>
        </w:rPr>
        <w:t xml:space="preserve"> parches_con_punto(gdf, estaciones)  </w:t>
      </w:r>
      <w:r>
        <w:rPr>
          <w:rStyle w:val="CommentTok"/>
        </w:rPr>
        <w:t xml:space="preserve"># contains con los puntos INVEMAR</w:t>
      </w:r>
    </w:p>
    <w:bookmarkEnd w:id="150"/>
    <w:bookmarkStart w:id="151" w:name="X32380bf0a00da97b05b1c0f73201a606fb69033"/>
    <w:p>
      <w:pPr>
        <w:pStyle w:val="Heading3"/>
      </w:pPr>
      <w:r>
        <w:t xml:space="preserve">16.2.2 E.2.b Segmentación promptable con SamGeo vit_b y vectorización por periodo</w:t>
      </w:r>
    </w:p>
    <w:p>
      <w:pPr>
        <w:pStyle w:val="FirstParagraph"/>
      </w:pPr>
      <w: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rPr>
        <w:t xml:space="preserve">from</w:t>
      </w:r>
      <w:r>
        <w:rPr>
          <w:rStyle w:val="NormalTok"/>
        </w:rPr>
        <w:t xml:space="preserve"> samgeo </w:t>
      </w:r>
      <w:r>
        <w:rPr>
          <w:rStyle w:val="ImportTok"/>
        </w:rPr>
        <w:t xml:space="preserve">import</w:t>
      </w:r>
      <w:r>
        <w:rPr>
          <w:rStyle w:val="NormalTok"/>
        </w:rPr>
        <w:t xml:space="preserve"> SamGeo</w:t>
      </w:r>
      <w:r>
        <w:br/>
      </w:r>
      <w:r>
        <w:br/>
      </w:r>
      <w:r>
        <w:rPr>
          <w:rStyle w:val="CommentTok"/>
        </w:rPr>
        <w:t xml:space="preserve"># Modelo base vit_b para ajustarse a la RAM del contenedor</w:t>
      </w:r>
      <w:r>
        <w:br/>
      </w:r>
      <w:r>
        <w:rPr>
          <w:rStyle w:val="NormalTok"/>
        </w:rPr>
        <w:t xml:space="preserve">sam </w:t>
      </w:r>
      <w:r>
        <w:rPr>
          <w:rStyle w:val="OperatorTok"/>
        </w:rPr>
        <w:t xml:space="preserve">=</w:t>
      </w:r>
      <w:r>
        <w:rPr>
          <w:rStyle w:val="NormalTok"/>
        </w:rPr>
        <w:t xml:space="preserve"> SamGeo(model_type</w:t>
      </w:r>
      <w:r>
        <w:rPr>
          <w:rStyle w:val="OperatorTok"/>
        </w:rPr>
        <w:t xml:space="preserve">=</w:t>
      </w:r>
      <w:r>
        <w:rPr>
          <w:rStyle w:val="StringTok"/>
        </w:rPr>
        <w:t xml:space="preserve">'vit_b'</w:t>
      </w:r>
      <w:r>
        <w:rPr>
          <w:rStyle w:val="NormalTok"/>
        </w:rPr>
        <w:t xml:space="preserve">, automátic</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periodo </w:t>
      </w:r>
      <w:r>
        <w:rPr>
          <w:rStyle w:val="KeywordTok"/>
        </w:rPr>
        <w:t xml:space="preserve">in</w:t>
      </w:r>
      <w:r>
        <w:rPr>
          <w:rStyle w:val="NormalTok"/>
        </w:rPr>
        <w:t xml:space="preserve"> [</w:t>
      </w:r>
      <w:r>
        <w:rPr>
          <w:rStyle w:val="StringTok"/>
        </w:rPr>
        <w:t xml:space="preserve">'degradación'</w:t>
      </w:r>
      <w:r>
        <w:rPr>
          <w:rStyle w:val="NormalTok"/>
        </w:rPr>
        <w:t xml:space="preserve">, </w:t>
      </w:r>
      <w:r>
        <w:rPr>
          <w:rStyle w:val="StringTok"/>
        </w:rPr>
        <w:t xml:space="preserve">'recuperación'</w:t>
      </w:r>
      <w:r>
        <w:rPr>
          <w:rStyle w:val="NormalTok"/>
        </w:rPr>
        <w:t xml:space="preserve">, </w:t>
      </w:r>
      <w:r>
        <w:rPr>
          <w:rStyle w:val="StringTok"/>
        </w:rPr>
        <w:t xml:space="preserve">'actual'</w:t>
      </w:r>
      <w:r>
        <w:rPr>
          <w:rStyle w:val="NormalTok"/>
        </w:rPr>
        <w:t xml:space="preserve">]:</w:t>
      </w:r>
      <w:r>
        <w:br/>
      </w:r>
      <w:r>
        <w:rPr>
          <w:rStyle w:val="NormalTok"/>
        </w:rPr>
        <w:t xml:space="preserve">    rgb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res_dir</w:t>
      </w:r>
      <w:r>
        <w:rPr>
          <w:rStyle w:val="SpecialCharTok"/>
        </w:rPr>
        <w:t xml:space="preserve">}</w:t>
      </w:r>
      <w:r>
        <w:rPr>
          <w:rStyle w:val="SpecialStringTok"/>
        </w:rPr>
        <w:t xml:space="preserve">/CGSM_RGB_</w:t>
      </w:r>
      <w:r>
        <w:rPr>
          <w:rStyle w:val="SpecialCharTok"/>
        </w:rPr>
        <w:t xml:space="preserve">{</w:t>
      </w:r>
      <w:r>
        <w:rPr>
          <w:rStyle w:val="NormalTok"/>
        </w:rPr>
        <w:t xml:space="preserve">periodo</w:t>
      </w:r>
      <w:r>
        <w:rPr>
          <w:rStyle w:val="SpecialCharTok"/>
        </w:rPr>
        <w:t xml:space="preserve">}</w:t>
      </w:r>
      <w:r>
        <w:rPr>
          <w:rStyle w:val="SpecialStringTok"/>
        </w:rPr>
        <w:t xml:space="preserve">_30m.tif'</w:t>
      </w:r>
      <w:r>
        <w:br/>
      </w:r>
      <w:r>
        <w:rPr>
          <w:rStyle w:val="NormalTok"/>
        </w:rPr>
        <w:t xml:space="preserve">    mask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out_dir</w:t>
      </w:r>
      <w:r>
        <w:rPr>
          <w:rStyle w:val="SpecialCharTok"/>
        </w:rPr>
        <w:t xml:space="preserve">}</w:t>
      </w:r>
      <w:r>
        <w:rPr>
          <w:rStyle w:val="SpecialStringTok"/>
        </w:rPr>
        <w:t xml:space="preserve">/mask_</w:t>
      </w:r>
      <w:r>
        <w:rPr>
          <w:rStyle w:val="SpecialCharTok"/>
        </w:rPr>
        <w:t xml:space="preserve">{</w:t>
      </w:r>
      <w:r>
        <w:rPr>
          <w:rStyle w:val="NormalTok"/>
        </w:rPr>
        <w:t xml:space="preserve">periodo</w:t>
      </w:r>
      <w:r>
        <w:rPr>
          <w:rStyle w:val="SpecialCharTok"/>
        </w:rPr>
        <w:t xml:space="preserve">}</w:t>
      </w:r>
      <w:r>
        <w:rPr>
          <w:rStyle w:val="SpecialStringTok"/>
        </w:rPr>
        <w:t xml:space="preserve">.tif'</w:t>
      </w:r>
      <w:r>
        <w:br/>
      </w:r>
      <w:r>
        <w:rPr>
          <w:rStyle w:val="NormalTok"/>
        </w:rPr>
        <w:t xml:space="preserve">    poly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out_dir</w:t>
      </w:r>
      <w:r>
        <w:rPr>
          <w:rStyle w:val="SpecialCharTok"/>
        </w:rPr>
        <w:t xml:space="preserve">}</w:t>
      </w:r>
      <w:r>
        <w:rPr>
          <w:rStyle w:val="SpecialStringTok"/>
        </w:rPr>
        <w:t xml:space="preserve">/manglar_</w:t>
      </w:r>
      <w:r>
        <w:rPr>
          <w:rStyle w:val="SpecialCharTok"/>
        </w:rPr>
        <w:t xml:space="preserve">{</w:t>
      </w:r>
      <w:r>
        <w:rPr>
          <w:rStyle w:val="NormalTok"/>
        </w:rPr>
        <w:t xml:space="preserve">periodo</w:t>
      </w:r>
      <w:r>
        <w:rPr>
          <w:rStyle w:val="SpecialCharTok"/>
        </w:rPr>
        <w:t xml:space="preserve">}</w:t>
      </w:r>
      <w:r>
        <w:rPr>
          <w:rStyle w:val="SpecialStringTok"/>
        </w:rPr>
        <w:t xml:space="preserve">.geojson'</w:t>
      </w:r>
      <w:r>
        <w:br/>
      </w:r>
      <w:r>
        <w:rPr>
          <w:rStyle w:val="NormalTok"/>
        </w:rPr>
        <w:t xml:space="preserve">    sam.generate(rgb, output</w:t>
      </w:r>
      <w:r>
        <w:rPr>
          <w:rStyle w:val="OperatorTok"/>
        </w:rPr>
        <w:t xml:space="preserve">=</w:t>
      </w:r>
      <w:r>
        <w:rPr>
          <w:rStyle w:val="NormalTok"/>
        </w:rPr>
        <w:t xml:space="preserve">mask)        </w:t>
      </w:r>
      <w:r>
        <w:rPr>
          <w:rStyle w:val="CommentTok"/>
        </w:rPr>
        <w:t xml:space="preserve"># raster binario</w:t>
      </w:r>
      <w:r>
        <w:br/>
      </w:r>
      <w:r>
        <w:rPr>
          <w:rStyle w:val="NormalTok"/>
        </w:rPr>
        <w:t xml:space="preserve">    sam.tiff_to_vector(mask, poly)        </w:t>
      </w:r>
      <w:r>
        <w:rPr>
          <w:rStyle w:val="CommentTok"/>
        </w:rPr>
        <w:t xml:space="preserve"># parches vectoriales</w:t>
      </w:r>
    </w:p>
    <w:bookmarkEnd w:id="151"/>
    <w:bookmarkEnd w:id="152"/>
    <w:bookmarkStart w:id="155" w:name="Xbcff38372e88ef926b7df2bfb1aae6dce9089dc"/>
    <w:p>
      <w:pPr>
        <w:pStyle w:val="Heading2"/>
      </w:pPr>
      <w:r>
        <w:t xml:space="preserve">16.3 E.3 Forzamiento climático y detección SAR</w:t>
      </w:r>
    </w:p>
    <w:bookmarkStart w:id="153" w:name="X37cf50bdef44f339f5979a117beec730177981e"/>
    <w:p>
      <w:pPr>
        <w:pStyle w:val="Heading3"/>
      </w:pPr>
      <w:r>
        <w:t xml:space="preserve">16.3.1 E.3.a Descarga ERA5-Land mediante cdsapi y cálculo de anomalías mensuales</w:t>
      </w:r>
    </w:p>
    <w:p>
      <w:pPr>
        <w:pStyle w:val="FirstParagraph"/>
      </w:pPr>
      <w:r>
        <w:t xml:space="preserve">La descarga del reanálisis ERA5-Land del ECMWF se realiza con</w:t>
      </w:r>
      <w:r>
        <w:t xml:space="preserve"> </w:t>
      </w:r>
      <w:r>
        <w:rPr>
          <w:rStyle w:val="VerbatimChar"/>
        </w:rPr>
        <w:t xml:space="preserve">cdsapi</w:t>
      </w:r>
      <w:r>
        <w:t xml:space="preserve"> </w:t>
      </w:r>
      <w:r>
        <w:t xml:space="preserve">directamente desde el Climate Data Store, solicitando precipitación total y temperatura a dos metros sobre un bounding box que envuelve la CGSM con buffer; los datos se reciben en NetCDF con convenciones CF y se cargan con</w:t>
      </w:r>
      <w:r>
        <w:t xml:space="preserve"> </w:t>
      </w:r>
      <w:r>
        <w:rPr>
          <w:rStyle w:val="VerbatimChar"/>
        </w:rPr>
        <w:t xml:space="preserve">xarray.open_dataset(chunks=...)</w:t>
      </w:r>
      <w:r>
        <w:t xml:space="preserve"> </w:t>
      </w:r>
      <w:r>
        <w:t xml:space="preserve">aplicando un patrón perezoso, calculando la climatología mensual y la anomalía respecto a ella para los rezagos cero a tres meses.</w:t>
      </w:r>
    </w:p>
    <w:p>
      <w:pPr>
        <w:pStyle w:val="SourceCode"/>
      </w:pPr>
      <w:r>
        <w:rPr>
          <w:rStyle w:val="ImportTok"/>
        </w:rPr>
        <w:t xml:space="preserve">import</w:t>
      </w:r>
      <w:r>
        <w:rPr>
          <w:rStyle w:val="NormalTok"/>
        </w:rPr>
        <w:t xml:space="preserve"> cdsapi, xarray </w:t>
      </w:r>
      <w:r>
        <w:rPr>
          <w:rStyle w:val="ImportTok"/>
        </w:rPr>
        <w:t xml:space="preserve">as</w:t>
      </w:r>
      <w:r>
        <w:rPr>
          <w:rStyle w:val="NormalTok"/>
        </w:rPr>
        <w:t xml:space="preserve"> xr</w:t>
      </w:r>
      <w:r>
        <w:br/>
      </w:r>
      <w:r>
        <w:rPr>
          <w:rStyle w:val="NormalTok"/>
        </w:rPr>
        <w:t xml:space="preserve">c </w:t>
      </w:r>
      <w:r>
        <w:rPr>
          <w:rStyle w:val="OperatorTok"/>
        </w:rPr>
        <w:t xml:space="preserve">=</w:t>
      </w:r>
      <w:r>
        <w:rPr>
          <w:rStyle w:val="NormalTok"/>
        </w:rPr>
        <w:t xml:space="preserve"> cdsapi.Client()</w:t>
      </w:r>
      <w:r>
        <w:br/>
      </w:r>
      <w:r>
        <w:rPr>
          <w:rStyle w:val="NormalTok"/>
        </w:rPr>
        <w:t xml:space="preserve">c.retrieve(</w:t>
      </w:r>
      <w:r>
        <w:rPr>
          <w:rStyle w:val="StringTok"/>
        </w:rPr>
        <w:t xml:space="preserve">'reanalysis-era5-land-monthly-means'</w:t>
      </w:r>
      <w:r>
        <w:rPr>
          <w:rStyle w:val="NormalTok"/>
        </w:rPr>
        <w:t xml:space="preserve">, {</w:t>
      </w:r>
      <w:r>
        <w:br/>
      </w:r>
      <w:r>
        <w:rPr>
          <w:rStyle w:val="NormalTok"/>
        </w:rPr>
        <w:t xml:space="preserve">    </w:t>
      </w:r>
      <w:r>
        <w:rPr>
          <w:rStyle w:val="StringTok"/>
        </w:rPr>
        <w:t xml:space="preserve">'product_type'</w:t>
      </w:r>
      <w:r>
        <w:rPr>
          <w:rStyle w:val="NormalTok"/>
        </w:rPr>
        <w:t xml:space="preserve">: </w:t>
      </w:r>
      <w:r>
        <w:rPr>
          <w:rStyle w:val="StringTok"/>
        </w:rPr>
        <w:t xml:space="preserve">'monthly_averaged_reanalysis'</w:t>
      </w:r>
      <w:r>
        <w:rPr>
          <w:rStyle w:val="NormalTok"/>
        </w:rPr>
        <w:t xml:space="preserve">,</w:t>
      </w:r>
      <w:r>
        <w:br/>
      </w:r>
      <w:r>
        <w:rPr>
          <w:rStyle w:val="NormalTok"/>
        </w:rPr>
        <w:t xml:space="preserve">    </w:t>
      </w:r>
      <w:r>
        <w:rPr>
          <w:rStyle w:val="StringTok"/>
        </w:rPr>
        <w:t xml:space="preserve">'variable'</w:t>
      </w:r>
      <w:r>
        <w:rPr>
          <w:rStyle w:val="NormalTok"/>
        </w:rPr>
        <w:t xml:space="preserve">: [</w:t>
      </w:r>
      <w:r>
        <w:rPr>
          <w:rStyle w:val="StringTok"/>
        </w:rPr>
        <w:t xml:space="preserve">'total_precipitation'</w:t>
      </w:r>
      <w:r>
        <w:rPr>
          <w:rStyle w:val="NormalTok"/>
        </w:rPr>
        <w:t xml:space="preserve">, </w:t>
      </w:r>
      <w:r>
        <w:rPr>
          <w:rStyle w:val="StringTok"/>
        </w:rPr>
        <w:t xml:space="preserve">'2m_temperature'</w:t>
      </w:r>
      <w:r>
        <w:rPr>
          <w:rStyle w:val="NormalTok"/>
        </w:rPr>
        <w:t xml:space="preserve">],</w:t>
      </w:r>
      <w:r>
        <w:br/>
      </w:r>
      <w:r>
        <w:rPr>
          <w:rStyle w:val="NormalTok"/>
        </w:rPr>
        <w:t xml:space="preserve">    </w:t>
      </w:r>
      <w:r>
        <w:rPr>
          <w:rStyle w:val="StringTok"/>
        </w:rPr>
        <w:t xml:space="preserve">'year'</w:t>
      </w:r>
      <w:r>
        <w:rPr>
          <w:rStyle w:val="NormalTok"/>
        </w:rPr>
        <w:t xml:space="preserve">: [</w:t>
      </w:r>
      <w:r>
        <w:rPr>
          <w:rStyle w:val="BuiltInTok"/>
        </w:rPr>
        <w:t xml:space="preserve">str</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2018</w:t>
      </w:r>
      <w:r>
        <w:rPr>
          <w:rStyle w:val="NormalTok"/>
        </w:rPr>
        <w:t xml:space="preserve">, </w:t>
      </w:r>
      <w:r>
        <w:rPr>
          <w:rStyle w:val="DecValTok"/>
        </w:rPr>
        <w:t xml:space="preserve">2026</w:t>
      </w:r>
      <w:r>
        <w:rPr>
          <w:rStyle w:val="NormalTok"/>
        </w:rPr>
        <w:t xml:space="preserve">)],</w:t>
      </w:r>
      <w:r>
        <w:br/>
      </w:r>
      <w:r>
        <w:rPr>
          <w:rStyle w:val="NormalTok"/>
        </w:rPr>
        <w:t xml:space="preserve">    </w:t>
      </w:r>
      <w:r>
        <w:rPr>
          <w:rStyle w:val="StringTok"/>
        </w:rPr>
        <w:t xml:space="preserve">'month'</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'00:00'</w:t>
      </w:r>
      <w:r>
        <w:rPr>
          <w:rStyle w:val="NormalTok"/>
        </w:rPr>
        <w:t xml:space="preserve">, </w:t>
      </w:r>
      <w:r>
        <w:rPr>
          <w:rStyle w:val="StringTok"/>
        </w:rPr>
        <w:t xml:space="preserve">'area'</w:t>
      </w:r>
      <w:r>
        <w:rPr>
          <w:rStyle w:val="NormalTok"/>
        </w:rPr>
        <w:t xml:space="preserve">: [</w:t>
      </w:r>
      <w:r>
        <w:rPr>
          <w:rStyle w:val="FloatTok"/>
        </w:rPr>
        <w:t xml:space="preserve">11.20</w:t>
      </w:r>
      <w:r>
        <w:rPr>
          <w:rStyle w:val="NormalTok"/>
        </w:rPr>
        <w:t xml:space="preserve">, </w:t>
      </w:r>
      <w:r>
        <w:rPr>
          <w:rStyle w:val="OperatorTok"/>
        </w:rPr>
        <w:t xml:space="preserve">-</w:t>
      </w:r>
      <w:r>
        <w:rPr>
          <w:rStyle w:val="FloatTok"/>
        </w:rPr>
        <w:t xml:space="preserve">75.05</w:t>
      </w:r>
      <w:r>
        <w:rPr>
          <w:rStyle w:val="NormalTok"/>
        </w:rPr>
        <w:t xml:space="preserve">, </w:t>
      </w:r>
      <w:r>
        <w:rPr>
          <w:rStyle w:val="FloatTok"/>
        </w:rPr>
        <w:t xml:space="preserve">10.30</w:t>
      </w:r>
      <w:r>
        <w:rPr>
          <w:rStyle w:val="NormalTok"/>
        </w:rPr>
        <w:t xml:space="preserve">, </w:t>
      </w:r>
      <w:r>
        <w:rPr>
          <w:rStyle w:val="OperatorTok"/>
        </w:rPr>
        <w:t xml:space="preserve">-</w:t>
      </w:r>
      <w:r>
        <w:rPr>
          <w:rStyle w:val="FloatTok"/>
        </w:rPr>
        <w:t xml:space="preserve">74.05</w:t>
      </w:r>
      <w:r>
        <w:rPr>
          <w:rStyle w:val="NormalTok"/>
        </w:rPr>
        <w:t xml:space="preserve">],</w:t>
      </w:r>
      <w:r>
        <w:br/>
      </w:r>
      <w:r>
        <w:rPr>
          <w:rStyle w:val="NormalTok"/>
        </w:rPr>
        <w:t xml:space="preserve">    </w:t>
      </w:r>
      <w:r>
        <w:rPr>
          <w:rStyle w:val="StringTok"/>
        </w:rPr>
        <w:t xml:space="preserve">'format'</w:t>
      </w:r>
      <w:r>
        <w:rPr>
          <w:rStyle w:val="NormalTok"/>
        </w:rPr>
        <w:t xml:space="preserve">: </w:t>
      </w:r>
      <w:r>
        <w:rPr>
          <w:rStyle w:val="StringTok"/>
        </w:rPr>
        <w:t xml:space="preserve">'netcdf'</w:t>
      </w:r>
      <w:r>
        <w:rPr>
          <w:rStyle w:val="NormalTok"/>
        </w:rPr>
        <w:t xml:space="preserve">}, </w:t>
      </w:r>
      <w:r>
        <w:rPr>
          <w:rStyle w:val="StringTok"/>
        </w:rPr>
        <w:t xml:space="preserve">'data/raw/era5_land_cgsm_monthly.nc'</w:t>
      </w:r>
      <w:r>
        <w:rPr>
          <w:rStyle w:val="NormalTok"/>
        </w:rPr>
        <w:t xml:space="preserve">)</w:t>
      </w:r>
      <w:r>
        <w:br/>
      </w:r>
      <w:r>
        <w:rPr>
          <w:rStyle w:val="NormalTok"/>
        </w:rPr>
        <w:t xml:space="preserve">ds </w:t>
      </w:r>
      <w:r>
        <w:rPr>
          <w:rStyle w:val="OperatorTok"/>
        </w:rPr>
        <w:t xml:space="preserve">=</w:t>
      </w:r>
      <w:r>
        <w:rPr>
          <w:rStyle w:val="NormalTok"/>
        </w:rPr>
        <w:t xml:space="preserve"> xr.open_dataset(</w:t>
      </w:r>
      <w:r>
        <w:rPr>
          <w:rStyle w:val="StringTok"/>
        </w:rPr>
        <w:t xml:space="preserve">'data/raw/era5_land_cgsm_monthly.nc'</w:t>
      </w:r>
      <w:r>
        <w:rPr>
          <w:rStyle w:val="NormalTok"/>
        </w:rPr>
        <w:t xml:space="preserve">, chunks</w:t>
      </w:r>
      <w:r>
        <w:rPr>
          <w:rStyle w:val="OperatorTok"/>
        </w:rPr>
        <w:t xml:space="preserve">=</w:t>
      </w:r>
      <w:r>
        <w:rPr>
          <w:rStyle w:val="NormalTok"/>
        </w:rPr>
        <w:t xml:space="preserve">{</w:t>
      </w:r>
      <w:r>
        <w:rPr>
          <w:rStyle w:val="StringTok"/>
        </w:rPr>
        <w:t xml:space="preserve">'time'</w:t>
      </w:r>
      <w:r>
        <w:rPr>
          <w:rStyle w:val="NormalTok"/>
        </w:rPr>
        <w:t xml:space="preserve">: </w:t>
      </w:r>
      <w:r>
        <w:rPr>
          <w:rStyle w:val="DecValTok"/>
        </w:rPr>
        <w:t xml:space="preserve">12</w:t>
      </w:r>
      <w:r>
        <w:rPr>
          <w:rStyle w:val="NormalTok"/>
        </w:rPr>
        <w:t xml:space="preserve">})</w:t>
      </w:r>
      <w:r>
        <w:br/>
      </w:r>
      <w:r>
        <w:rPr>
          <w:rStyle w:val="NormalTok"/>
        </w:rPr>
        <w:t xml:space="preserve">anom </w:t>
      </w:r>
      <w:r>
        <w:rPr>
          <w:rStyle w:val="OperatorTok"/>
        </w:rPr>
        <w:t xml:space="preserve">=</w:t>
      </w:r>
      <w:r>
        <w:rPr>
          <w:rStyle w:val="NormalTok"/>
        </w:rPr>
        <w:t xml:space="preserve"> ds.groupby(</w:t>
      </w:r>
      <w:r>
        <w:rPr>
          <w:rStyle w:val="StringTok"/>
        </w:rPr>
        <w:t xml:space="preserve">'time.month'</w:t>
      </w:r>
      <w:r>
        <w:rPr>
          <w:rStyle w:val="NormalTok"/>
        </w:rPr>
        <w:t xml:space="preserve">) </w:t>
      </w:r>
      <w:r>
        <w:rPr>
          <w:rStyle w:val="OperatorTok"/>
        </w:rPr>
        <w:t xml:space="preserve">-</w:t>
      </w:r>
      <w:r>
        <w:rPr>
          <w:rStyle w:val="NormalTok"/>
        </w:rPr>
        <w:t xml:space="preserve"> ds.groupby(</w:t>
      </w:r>
      <w:r>
        <w:rPr>
          <w:rStyle w:val="StringTok"/>
        </w:rPr>
        <w:t xml:space="preserve">'time.month'</w:t>
      </w:r>
      <w:r>
        <w:rPr>
          <w:rStyle w:val="NormalTok"/>
        </w:rPr>
        <w:t xml:space="preserve">).mean(</w:t>
      </w:r>
      <w:r>
        <w:rPr>
          <w:rStyle w:val="StringTok"/>
        </w:rPr>
        <w:t xml:space="preserve">'time'</w:t>
      </w:r>
      <w:r>
        <w:rPr>
          <w:rStyle w:val="NormalTok"/>
        </w:rPr>
        <w:t xml:space="preserve">)</w:t>
      </w:r>
    </w:p>
    <w:bookmarkEnd w:id="153"/>
    <w:bookmarkStart w:id="154" w:name="Xc17b12397ade9500b7e4fa0f94b6ad907d732c1"/>
    <w:p>
      <w:pPr>
        <w:pStyle w:val="Heading3"/>
      </w:pPr>
      <w:r>
        <w:t xml:space="preserve">16.3.2 E.3.b Detección de inundación Sentinel-1 SAR para el evento de septiembre 2020</w:t>
      </w:r>
    </w:p>
    <w:p>
      <w:pPr>
        <w:pStyle w:val="FirstParagraph"/>
      </w:pPr>
      <w: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el scattering de doble rebote característico de la interacción agua–tronco—.</w:t>
      </w:r>
    </w:p>
    <w:p>
      <w:pPr>
        <w:pStyle w:val="SourceCode"/>
      </w:pPr>
      <w:r>
        <w:rPr>
          <w:rStyle w:val="NormalTok"/>
        </w:rPr>
        <w:t xml:space="preserve">s1_dry </w:t>
      </w:r>
      <w:r>
        <w:rPr>
          <w:rStyle w:val="OperatorTok"/>
        </w:rPr>
        <w:t xml:space="preserve">=</w:t>
      </w:r>
      <w:r>
        <w:rPr>
          <w:rStyle w:val="NormalTok"/>
        </w:rPr>
        <w:t xml:space="preserve"> ee.ImageCollection(</w:t>
      </w:r>
      <w:r>
        <w:rPr>
          <w:rStyle w:val="StringTok"/>
        </w:rPr>
        <w:t xml:space="preserve">'COPERNICUS/S1_GRD'</w:t>
      </w:r>
      <w:r>
        <w:rPr>
          <w:rStyle w:val="NormalTok"/>
        </w:rPr>
        <w:t xml:space="preserve">) </w:t>
      </w:r>
      <w:r>
        <w:rPr>
          <w:rStyle w:val="OperatorTok"/>
        </w:rPr>
        <w:t xml:space="preserve">\</w:t>
      </w:r>
      <w:r>
        <w:br/>
      </w:r>
      <w:r>
        <w:rPr>
          <w:rStyle w:val="NormalTok"/>
        </w:rPr>
        <w:t xml:space="preserve">    .filterDate(</w:t>
      </w:r>
      <w:r>
        <w:rPr>
          <w:rStyle w:val="StringTok"/>
        </w:rPr>
        <w:t xml:space="preserve">'2020-01-01'</w:t>
      </w:r>
      <w:r>
        <w:rPr>
          <w:rStyle w:val="NormalTok"/>
        </w:rPr>
        <w:t xml:space="preserve">,</w:t>
      </w:r>
      <w:r>
        <w:rPr>
          <w:rStyle w:val="StringTok"/>
        </w:rPr>
        <w:t xml:space="preserve">'2020-03-31'</w:t>
      </w:r>
      <w:r>
        <w:rPr>
          <w:rStyle w:val="NormalTok"/>
        </w:rPr>
        <w:t xml:space="preserve">).select(</w:t>
      </w:r>
      <w:r>
        <w:rPr>
          <w:rStyle w:val="StringTok"/>
        </w:rPr>
        <w:t xml:space="preserve">'VH'</w:t>
      </w:r>
      <w:r>
        <w:rPr>
          <w:rStyle w:val="NormalTok"/>
        </w:rPr>
        <w:t xml:space="preserve">).median()</w:t>
      </w:r>
      <w:r>
        <w:br/>
      </w:r>
      <w:r>
        <w:rPr>
          <w:rStyle w:val="NormalTok"/>
        </w:rPr>
        <w:t xml:space="preserve">s1_flood </w:t>
      </w:r>
      <w:r>
        <w:rPr>
          <w:rStyle w:val="OperatorTok"/>
        </w:rPr>
        <w:t xml:space="preserve">=</w:t>
      </w:r>
      <w:r>
        <w:rPr>
          <w:rStyle w:val="NormalTok"/>
        </w:rPr>
        <w:t xml:space="preserve"> ee.ImageCollection(</w:t>
      </w:r>
      <w:r>
        <w:rPr>
          <w:rStyle w:val="StringTok"/>
        </w:rPr>
        <w:t xml:space="preserve">'COPERNICUS/S1_GRD'</w:t>
      </w:r>
      <w:r>
        <w:rPr>
          <w:rStyle w:val="NormalTok"/>
        </w:rPr>
        <w:t xml:space="preserve">) </w:t>
      </w:r>
      <w:r>
        <w:rPr>
          <w:rStyle w:val="OperatorTok"/>
        </w:rPr>
        <w:t xml:space="preserve">\</w:t>
      </w:r>
      <w:r>
        <w:br/>
      </w:r>
      <w:r>
        <w:rPr>
          <w:rStyle w:val="NormalTok"/>
        </w:rPr>
        <w:t xml:space="preserve">    .filterDate(</w:t>
      </w:r>
      <w:r>
        <w:rPr>
          <w:rStyle w:val="StringTok"/>
        </w:rPr>
        <w:t xml:space="preserve">'2020-09-01'</w:t>
      </w:r>
      <w:r>
        <w:rPr>
          <w:rStyle w:val="NormalTok"/>
        </w:rPr>
        <w:t xml:space="preserve">,</w:t>
      </w:r>
      <w:r>
        <w:rPr>
          <w:rStyle w:val="StringTok"/>
        </w:rPr>
        <w:t xml:space="preserve">'2020-10-31'</w:t>
      </w:r>
      <w:r>
        <w:rPr>
          <w:rStyle w:val="NormalTok"/>
        </w:rPr>
        <w:t xml:space="preserve">).select(</w:t>
      </w:r>
      <w:r>
        <w:rPr>
          <w:rStyle w:val="StringTok"/>
        </w:rPr>
        <w:t xml:space="preserve">'VH'</w:t>
      </w:r>
      <w:r>
        <w:rPr>
          <w:rStyle w:val="NormalTok"/>
        </w:rPr>
        <w:t xml:space="preserve">).median()</w:t>
      </w:r>
      <w:r>
        <w:br/>
      </w:r>
      <w:r>
        <w:rPr>
          <w:rStyle w:val="NormalTok"/>
        </w:rPr>
        <w:t xml:space="preserve">sar_diff </w:t>
      </w:r>
      <w:r>
        <w:rPr>
          <w:rStyle w:val="OperatorTok"/>
        </w:rPr>
        <w:t xml:space="preserve">=</w:t>
      </w:r>
      <w:r>
        <w:rPr>
          <w:rStyle w:val="NormalTok"/>
        </w:rPr>
        <w:t xml:space="preserve"> s1_dry.subtract(s1_flood)</w:t>
      </w:r>
      <w:r>
        <w:br/>
      </w:r>
      <w:r>
        <w:rPr>
          <w:rStyle w:val="NormalTok"/>
        </w:rPr>
        <w:t xml:space="preserve">flood_open </w:t>
      </w:r>
      <w:r>
        <w:rPr>
          <w:rStyle w:val="OperatorTok"/>
        </w:rPr>
        <w:t xml:space="preserve">=</w:t>
      </w:r>
      <w:r>
        <w:rPr>
          <w:rStyle w:val="NormalTok"/>
        </w:rPr>
        <w:t xml:space="preserve"> sar_diff.gt(</w:t>
      </w:r>
      <w:r>
        <w:rPr>
          <w:rStyle w:val="DecValTok"/>
        </w:rPr>
        <w:t xml:space="preserve">3</w:t>
      </w:r>
      <w:r>
        <w:rPr>
          <w:rStyle w:val="NormalTok"/>
        </w:rPr>
        <w:t xml:space="preserve">).selfMask()    </w:t>
      </w:r>
      <w:r>
        <w:rPr>
          <w:rStyle w:val="CommentTok"/>
        </w:rPr>
        <w:t xml:space="preserve"># agua abierta</w:t>
      </w:r>
      <w:r>
        <w:br/>
      </w:r>
      <w:r>
        <w:rPr>
          <w:rStyle w:val="NormalTok"/>
        </w:rPr>
        <w:t xml:space="preserve">flood_canopy </w:t>
      </w:r>
      <w:r>
        <w:rPr>
          <w:rStyle w:val="OperatorTok"/>
        </w:rPr>
        <w:t xml:space="preserve">=</w:t>
      </w:r>
      <w:r>
        <w:rPr>
          <w:rStyle w:val="NormalTok"/>
        </w:rPr>
        <w:t xml:space="preserve"> sar_diff.lt(</w:t>
      </w:r>
      <w:r>
        <w:rPr>
          <w:rStyle w:val="OperatorTok"/>
        </w:rPr>
        <w:t xml:space="preserve">-</w:t>
      </w:r>
      <w:r>
        <w:rPr>
          <w:rStyle w:val="DecValTok"/>
        </w:rPr>
        <w:t xml:space="preserve">2</w:t>
      </w:r>
      <w:r>
        <w:rPr>
          <w:rStyle w:val="NormalTok"/>
        </w:rPr>
        <w:t xml:space="preserve">).selfMask() </w:t>
      </w:r>
      <w:r>
        <w:rPr>
          <w:rStyle w:val="CommentTok"/>
        </w:rPr>
        <w:t xml:space="preserve"># bajo dosel</w:t>
      </w:r>
    </w:p>
    <w:bookmarkEnd w:id="154"/>
    <w:bookmarkEnd w:id="155"/>
    <w:bookmarkStart w:id="157" w:name="X7977fb776ea495598938f87ab7173f02a1201d1"/>
    <w:p>
      <w:pPr>
        <w:pStyle w:val="Heading2"/>
      </w:pPr>
      <w:r>
        <w:t xml:space="preserve">16.4 E.4 Métricas de fragmentación del paisaje (Julia)</w:t>
      </w:r>
    </w:p>
    <w:bookmarkStart w:id="156" w:name="Xc49ea036c39efa007a57f8633c5578fa66ce2f4"/>
    <w:p>
      <w:pPr>
        <w:pStyle w:val="Heading3"/>
      </w:pPr>
      <w:r>
        <w:t xml:space="preserve">16.4.1 E.4.a Cálculo de área (shoelace), MSI y NND sobre parches en EPSG:9377</w:t>
      </w:r>
    </w:p>
    <w:p>
      <w:pPr>
        <w:pStyle w:val="FirstParagraph"/>
      </w:pPr>
      <w:r>
        <w:t xml:space="preserve">La función</w:t>
      </w:r>
      <w:r>
        <w:t xml:space="preserve"> </w:t>
      </w:r>
      <w:r>
        <w:rPr>
          <w:rStyle w:val="VerbatimChar"/>
        </w:rPr>
        <w:t xml:space="preserve">compute_metrics</w:t>
      </w:r>
      <w:r>
        <w:t xml:space="preserve"> </w:t>
      </w:r>
      <w: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t xml:space="preserve"> </w:t>
      </w:r>
      <w:r>
        <w:rPr>
          <w:rStyle w:val="VerbatimChar"/>
        </w:rPr>
        <w:t xml:space="preserve">DataFrame</w:t>
      </w:r>
      <w:r>
        <w:t xml:space="preserve"> </w:t>
      </w:r>
      <w: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rPr>
        <w:t xml:space="preserve">using</w:t>
      </w:r>
      <w:r>
        <w:rPr>
          <w:rStyle w:val="NormalTok"/>
        </w:rPr>
        <w:t xml:space="preserve"> </w:t>
      </w:r>
      <w:r>
        <w:rPr>
          <w:rStyle w:val="BuiltInTok"/>
        </w:rPr>
        <w:t xml:space="preserve">GeoJSON</w:t>
      </w:r>
      <w:r>
        <w:rPr>
          <w:rStyle w:val="NormalTok"/>
        </w:rPr>
        <w:t xml:space="preserve">, </w:t>
      </w:r>
      <w:r>
        <w:rPr>
          <w:rStyle w:val="BuiltInTok"/>
        </w:rPr>
        <w:t xml:space="preserve">DataFrames</w:t>
      </w:r>
      <w:r>
        <w:rPr>
          <w:rStyle w:val="NormalTok"/>
        </w:rPr>
        <w:t xml:space="preserve">, </w:t>
      </w:r>
      <w:r>
        <w:rPr>
          <w:rStyle w:val="BuiltInTok"/>
        </w:rPr>
        <w:t xml:space="preserve">Statistics</w:t>
      </w:r>
      <w:r>
        <w:br/>
      </w:r>
      <w:r>
        <w:br/>
      </w:r>
      <w:r>
        <w:rPr>
          <w:rStyle w:val="KeywordTok"/>
        </w:rPr>
        <w:t xml:space="preserve">function</w:t>
      </w:r>
      <w:r>
        <w:rPr>
          <w:rStyle w:val="NormalTok"/>
        </w:rPr>
        <w:t xml:space="preserve"> </w:t>
      </w:r>
      <w:r>
        <w:rPr>
          <w:rStyle w:val="FunctionTok"/>
        </w:rPr>
        <w:t xml:space="preserve">compute_metrics</w:t>
      </w:r>
      <w:r>
        <w:rPr>
          <w:rStyle w:val="NormalTok"/>
        </w:rPr>
        <w:t xml:space="preserve">(periodo, base_dir)</w:t>
      </w:r>
      <w:r>
        <w:br/>
      </w:r>
      <w:r>
        <w:rPr>
          <w:rStyle w:val="NormalTok"/>
        </w:rPr>
        <w:t xml:space="preserve">    path </w:t>
      </w:r>
      <w:r>
        <w:rPr>
          <w:rStyle w:val="OperatorTok"/>
        </w:rPr>
        <w:t xml:space="preserve">=</w:t>
      </w:r>
      <w:r>
        <w:rPr>
          <w:rStyle w:val="NormalTok"/>
        </w:rPr>
        <w:t xml:space="preserve"> </w:t>
      </w:r>
      <w:r>
        <w:rPr>
          <w:rStyle w:val="FunctionTok"/>
        </w:rPr>
        <w:t xml:space="preserve">joinpath</w:t>
      </w:r>
      <w:r>
        <w:rPr>
          <w:rStyle w:val="NormalTok"/>
        </w:rPr>
        <w:t xml:space="preserve">(base_dir, </w:t>
      </w:r>
      <w:r>
        <w:rPr>
          <w:rStyle w:val="StringTok"/>
        </w:rPr>
        <w:t xml:space="preserve">"manglar_</w:t>
      </w:r>
      <w:r>
        <w:rPr>
          <w:rStyle w:val="SpecialCharTok"/>
        </w:rPr>
        <w:t xml:space="preserve">$</w:t>
      </w:r>
      <w:r>
        <w:rPr>
          <w:rStyle w:val="NormalTok"/>
        </w:rPr>
        <w:t xml:space="preserve">(periodo)</w:t>
      </w:r>
      <w:r>
        <w:rPr>
          <w:rStyle w:val="StringTok"/>
        </w:rPr>
        <w:t xml:space="preserve">_9377.geojson"</w:t>
      </w:r>
      <w:r>
        <w:rPr>
          <w:rStyle w:val="NormalTok"/>
        </w:rPr>
        <w:t xml:space="preserve">)</w:t>
      </w:r>
      <w:r>
        <w:br/>
      </w:r>
      <w:r>
        <w:rPr>
          <w:rStyle w:val="NormalTok"/>
        </w:rPr>
        <w:t xml:space="preserve">    parches </w:t>
      </w:r>
      <w:r>
        <w:rPr>
          <w:rStyle w:val="OperatorTok"/>
        </w:rPr>
        <w:t xml:space="preserve">=</w:t>
      </w:r>
      <w:r>
        <w:rPr>
          <w:rStyle w:val="NormalTok"/>
        </w:rPr>
        <w:t xml:space="preserve"> GeoJSON.</w:t>
      </w:r>
      <w:r>
        <w:rPr>
          <w:rStyle w:val="FunctionTok"/>
        </w:rPr>
        <w:t xml:space="preserve">read</w:t>
      </w:r>
      <w:r>
        <w:rPr>
          <w:rStyle w:val="NormalTok"/>
        </w:rPr>
        <w:t xml:space="preserve">(</w:t>
      </w:r>
      <w:r>
        <w:rPr>
          <w:rStyle w:val="FunctionTok"/>
        </w:rPr>
        <w:t xml:space="preserve">read</w:t>
      </w:r>
      <w:r>
        <w:rPr>
          <w:rStyle w:val="NormalTok"/>
        </w:rPr>
        <w:t xml:space="preserve">(path, </w:t>
      </w:r>
      <w:r>
        <w:rPr>
          <w:rStyle w:val="DataTypeTok"/>
        </w:rPr>
        <w:t xml:space="preserve">String</w:t>
      </w:r>
      <w:r>
        <w:rPr>
          <w:rStyle w:val="NormalTok"/>
        </w:rPr>
        <w:t xml:space="preserve">))</w:t>
      </w:r>
      <w:r>
        <w:br/>
      </w:r>
      <w:r>
        <w:br/>
      </w:r>
      <w:r>
        <w:rPr>
          <w:rStyle w:val="NormalTok"/>
        </w:rPr>
        <w:t xml:space="preserve">    </w:t>
      </w:r>
      <w:r>
        <w:rPr>
          <w:rStyle w:val="CommentTok"/>
        </w:rPr>
        <w:t xml:space="preserve"># Area por formula del cordon (shoelace) y perimetro en metros</w:t>
      </w:r>
      <w:r>
        <w:br/>
      </w:r>
      <w:r>
        <w:rPr>
          <w:rStyle w:val="NormalTok"/>
        </w:rPr>
        <w:t xml:space="preserve">    áreas </w:t>
      </w:r>
      <w:r>
        <w:rPr>
          <w:rStyle w:val="OperatorTok"/>
        </w:rPr>
        <w:t xml:space="preserve">=</w:t>
      </w:r>
      <w:r>
        <w:rPr>
          <w:rStyle w:val="NormalTok"/>
        </w:rPr>
        <w:t xml:space="preserve"> [</w:t>
      </w:r>
      <w:r>
        <w:rPr>
          <w:rStyle w:val="FunctionTok"/>
        </w:rPr>
        <w:t xml:space="preserve">shoelace_area</w:t>
      </w:r>
      <w:r>
        <w:rPr>
          <w:rStyle w:val="NormalTok"/>
        </w:rPr>
        <w:t xml:space="preserve">(p) for p </w:t>
      </w:r>
      <w:r>
        <w:rPr>
          <w:rStyle w:val="KeywordTok"/>
        </w:rPr>
        <w:t xml:space="preserve">in</w:t>
      </w:r>
      <w:r>
        <w:rPr>
          <w:rStyle w:val="NormalTok"/>
        </w:rPr>
        <w:t xml:space="preserve"> parches]</w:t>
      </w:r>
      <w:r>
        <w:br/>
      </w:r>
      <w:r>
        <w:rPr>
          <w:rStyle w:val="NormalTok"/>
        </w:rPr>
        <w:t xml:space="preserve">    perim </w:t>
      </w:r>
      <w:r>
        <w:rPr>
          <w:rStyle w:val="OperatorTok"/>
        </w:rPr>
        <w:t xml:space="preserve">=</w:t>
      </w:r>
      <w:r>
        <w:rPr>
          <w:rStyle w:val="NormalTok"/>
        </w:rPr>
        <w:t xml:space="preserve"> [</w:t>
      </w:r>
      <w:r>
        <w:rPr>
          <w:rStyle w:val="FunctionTok"/>
        </w:rPr>
        <w:t xml:space="preserve">polygon_perimeter</w:t>
      </w:r>
      <w:r>
        <w:rPr>
          <w:rStyle w:val="NormalTok"/>
        </w:rPr>
        <w:t xml:space="preserve">(p) for p </w:t>
      </w:r>
      <w:r>
        <w:rPr>
          <w:rStyle w:val="KeywordTok"/>
        </w:rPr>
        <w:t xml:space="preserve">in</w:t>
      </w:r>
      <w:r>
        <w:rPr>
          <w:rStyle w:val="NormalTok"/>
        </w:rPr>
        <w:t xml:space="preserve"> parches]</w:t>
      </w:r>
      <w:r>
        <w:br/>
      </w:r>
      <w:r>
        <w:rPr>
          <w:rStyle w:val="NormalTok"/>
        </w:rPr>
        <w:t xml:space="preserve">    msi   </w:t>
      </w:r>
      <w:r>
        <w:rPr>
          <w:rStyle w:val="OperatorTok"/>
        </w:rPr>
        <w:t xml:space="preserve">=</w:t>
      </w:r>
      <w:r>
        <w:rPr>
          <w:rStyle w:val="NormalTok"/>
        </w:rPr>
        <w:t xml:space="preserve"> perim </w:t>
      </w:r>
      <w:r>
        <w:rPr>
          <w:rStyle w:val="OperatorTok"/>
        </w:rPr>
        <w:t xml:space="preserve">./</w:t>
      </w:r>
      <w:r>
        <w:rPr>
          <w:rStyle w:val="NormalTok"/>
        </w:rPr>
        <w:t xml:space="preserve"> </w:t>
      </w:r>
      <w:r>
        <w:rPr>
          <w:rStyle w:val="FunctionTok"/>
        </w:rPr>
        <w:t xml:space="preserve">sqrt</w:t>
      </w:r>
      <w:r>
        <w:rPr>
          <w:rStyle w:val="NormalTok"/>
        </w:rPr>
        <w:t xml:space="preserve">.(</w:t>
      </w:r>
      <w:r>
        <w:rPr>
          <w:rStyle w:val="ConstantTok"/>
        </w:rPr>
        <w:t xml:space="preserve">pi</w:t>
      </w:r>
      <w:r>
        <w:rPr>
          <w:rStyle w:val="NormalTok"/>
        </w:rPr>
        <w:t xml:space="preserve"> </w:t>
      </w:r>
      <w:r>
        <w:rPr>
          <w:rStyle w:val="OperatorTok"/>
        </w:rPr>
        <w:t xml:space="preserve">.*</w:t>
      </w:r>
      <w:r>
        <w:rPr>
          <w:rStyle w:val="NormalTok"/>
        </w:rPr>
        <w:t xml:space="preserve"> áreas)            </w:t>
      </w:r>
      <w:r>
        <w:rPr>
          <w:rStyle w:val="CommentTok"/>
        </w:rPr>
        <w:t xml:space="preserve"># indice de forma medio</w:t>
      </w:r>
      <w:r>
        <w:br/>
      </w:r>
      <w:r>
        <w:rPr>
          <w:rStyle w:val="NormalTok"/>
        </w:rPr>
        <w:t xml:space="preserve">    nnd   </w:t>
      </w:r>
      <w:r>
        <w:rPr>
          <w:rStyle w:val="OperatorTok"/>
        </w:rPr>
        <w:t xml:space="preserve">=</w:t>
      </w:r>
      <w:r>
        <w:rPr>
          <w:rStyle w:val="NormalTok"/>
        </w:rPr>
        <w:t xml:space="preserve"> </w:t>
      </w:r>
      <w:r>
        <w:rPr>
          <w:rStyle w:val="FunctionTok"/>
        </w:rPr>
        <w:t xml:space="preserve">nearest_neighbor_distances</w:t>
      </w:r>
      <w:r>
        <w:rPr>
          <w:rStyle w:val="NormalTok"/>
        </w:rPr>
        <w:t xml:space="preserve">(parches)    </w:t>
      </w:r>
      <w:r>
        <w:rPr>
          <w:rStyle w:val="CommentTok"/>
        </w:rPr>
        <w:t xml:space="preserve"># km al vecino más cercano</w:t>
      </w:r>
      <w:r>
        <w:br/>
      </w:r>
      <w:r>
        <w:br/>
      </w:r>
      <w:r>
        <w:rPr>
          <w:rStyle w:val="NormalTok"/>
        </w:rPr>
        <w:t xml:space="preserve">    </w:t>
      </w:r>
      <w:r>
        <w:rPr>
          <w:rStyle w:val="ControlFlowTok"/>
        </w:rPr>
        <w:t xml:space="preserve">return</w:t>
      </w:r>
      <w:r>
        <w:rPr>
          <w:rStyle w:val="NormalTok"/>
        </w:rPr>
        <w:t xml:space="preserve"> </w:t>
      </w:r>
      <w:r>
        <w:rPr>
          <w:rStyle w:val="FunctionTok"/>
        </w:rPr>
        <w:t xml:space="preserve">DataFrame</w:t>
      </w:r>
      <w:r>
        <w:rPr>
          <w:rStyle w:val="NormalTok"/>
        </w:rPr>
        <w:t xml:space="preserve">(</w:t>
      </w:r>
      <w:r>
        <w:br/>
      </w:r>
      <w:r>
        <w:rPr>
          <w:rStyle w:val="NormalTok"/>
        </w:rPr>
        <w:t xml:space="preserve">        periodo    </w:t>
      </w:r>
      <w:r>
        <w:rPr>
          <w:rStyle w:val="OperatorTok"/>
        </w:rPr>
        <w:t xml:space="preserve">=</w:t>
      </w:r>
      <w:r>
        <w:rPr>
          <w:rStyle w:val="NormalTok"/>
        </w:rPr>
        <w:t xml:space="preserve"> periodo,</w:t>
      </w:r>
      <w:r>
        <w:br/>
      </w:r>
      <w:r>
        <w:rPr>
          <w:rStyle w:val="NormalTok"/>
        </w:rPr>
        <w:t xml:space="preserve">        n_parches  </w:t>
      </w:r>
      <w:r>
        <w:rPr>
          <w:rStyle w:val="OperatorTok"/>
        </w:rPr>
        <w:t xml:space="preserve">=</w:t>
      </w:r>
      <w:r>
        <w:rPr>
          <w:rStyle w:val="NormalTok"/>
        </w:rPr>
        <w:t xml:space="preserve"> </w:t>
      </w:r>
      <w:r>
        <w:rPr>
          <w:rStyle w:val="FunctionTok"/>
        </w:rPr>
        <w:t xml:space="preserve">length</w:t>
      </w:r>
      <w:r>
        <w:rPr>
          <w:rStyle w:val="NormalTok"/>
        </w:rPr>
        <w:t xml:space="preserve">(parches),</w:t>
      </w:r>
      <w:r>
        <w:br/>
      </w:r>
      <w:r>
        <w:rPr>
          <w:rStyle w:val="NormalTok"/>
        </w:rPr>
        <w:t xml:space="preserve">        area_total </w:t>
      </w:r>
      <w:r>
        <w:rPr>
          <w:rStyle w:val="OperatorTok"/>
        </w:rPr>
        <w:t xml:space="preserve">=</w:t>
      </w:r>
      <w:r>
        <w:rPr>
          <w:rStyle w:val="NormalTok"/>
        </w:rPr>
        <w:t xml:space="preserve"> </w:t>
      </w:r>
      <w:r>
        <w:rPr>
          <w:rStyle w:val="FunctionTok"/>
        </w:rPr>
        <w:t xml:space="preserve">sum</w:t>
      </w:r>
      <w:r>
        <w:rPr>
          <w:rStyle w:val="NormalTok"/>
        </w:rPr>
        <w:t xml:space="preserve">(áreas) </w:t>
      </w:r>
      <w:r>
        <w:rPr>
          <w:rStyle w:val="OperatorTok"/>
        </w:rPr>
        <w:t xml:space="preserve">/</w:t>
      </w:r>
      <w:r>
        <w:rPr>
          <w:rStyle w:val="NormalTok"/>
        </w:rPr>
        <w:t xml:space="preserve"> </w:t>
      </w:r>
      <w:r>
        <w:rPr>
          <w:rStyle w:val="FloatTok"/>
        </w:rPr>
        <w:t xml:space="preserve">1e4</w:t>
      </w:r>
      <w:r>
        <w:rPr>
          <w:rStyle w:val="NormalTok"/>
        </w:rPr>
        <w:t xml:space="preserve">,             </w:t>
      </w:r>
      <w:r>
        <w:rPr>
          <w:rStyle w:val="CommentTok"/>
        </w:rPr>
        <w:t xml:space="preserve"># hectáreas</w:t>
      </w:r>
      <w:r>
        <w:br/>
      </w:r>
      <w:r>
        <w:rPr>
          <w:rStyle w:val="NormalTok"/>
        </w:rPr>
        <w:t xml:space="preserve">        area_media </w:t>
      </w:r>
      <w:r>
        <w:rPr>
          <w:rStyle w:val="OperatorTok"/>
        </w:rPr>
        <w:t xml:space="preserve">=</w:t>
      </w:r>
      <w:r>
        <w:rPr>
          <w:rStyle w:val="NormalTok"/>
        </w:rPr>
        <w:t xml:space="preserve"> </w:t>
      </w:r>
      <w:r>
        <w:rPr>
          <w:rStyle w:val="FunctionTok"/>
        </w:rPr>
        <w:t xml:space="preserve">mean</w:t>
      </w:r>
      <w:r>
        <w:rPr>
          <w:rStyle w:val="NormalTok"/>
        </w:rPr>
        <w:t xml:space="preserve">(áreas) </w:t>
      </w:r>
      <w:r>
        <w:rPr>
          <w:rStyle w:val="Operato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msi_mean   </w:t>
      </w:r>
      <w:r>
        <w:rPr>
          <w:rStyle w:val="OperatorTok"/>
        </w:rPr>
        <w:t xml:space="preserve">=</w:t>
      </w:r>
      <w:r>
        <w:rPr>
          <w:rStyle w:val="NormalTok"/>
        </w:rPr>
        <w:t xml:space="preserve"> </w:t>
      </w:r>
      <w:r>
        <w:rPr>
          <w:rStyle w:val="FunctionTok"/>
        </w:rPr>
        <w:t xml:space="preserve">mean</w:t>
      </w:r>
      <w:r>
        <w:rPr>
          <w:rStyle w:val="NormalTok"/>
        </w:rPr>
        <w:t xml:space="preserve">(msi),</w:t>
      </w:r>
      <w:r>
        <w:br/>
      </w:r>
      <w:r>
        <w:rPr>
          <w:rStyle w:val="NormalTok"/>
        </w:rPr>
        <w:t xml:space="preserve">        nnd_mean   </w:t>
      </w:r>
      <w:r>
        <w:rPr>
          <w:rStyle w:val="OperatorTok"/>
        </w:rPr>
        <w:t xml:space="preserve">=</w:t>
      </w:r>
      <w:r>
        <w:rPr>
          <w:rStyle w:val="NormalTok"/>
        </w:rPr>
        <w:t xml:space="preserve"> </w:t>
      </w:r>
      <w:r>
        <w:rPr>
          <w:rStyle w:val="FunctionTok"/>
        </w:rPr>
        <w:t xml:space="preserve">mean</w:t>
      </w:r>
      <w:r>
        <w:rPr>
          <w:rStyle w:val="NormalTok"/>
        </w:rPr>
        <w:t xml:space="preserve">(nnd) </w:t>
      </w:r>
      <w:r>
        <w:rPr>
          <w:rStyle w:val="OperatorTok"/>
        </w:rPr>
        <w:t xml:space="preserve">/</w:t>
      </w:r>
      <w:r>
        <w:rPr>
          <w:rStyle w:val="NormalTok"/>
        </w:rPr>
        <w:t xml:space="preserve"> </w:t>
      </w:r>
      <w:r>
        <w:rPr>
          <w:rStyle w:val="FloatTok"/>
        </w:rPr>
        <w:t xml:space="preserve">1e3</w:t>
      </w:r>
      <w:r>
        <w:rPr>
          <w:rStyle w:val="NormalTok"/>
        </w:rPr>
        <w:t xml:space="preserve">,</w:t>
      </w:r>
      <w:r>
        <w:br/>
      </w:r>
      <w:r>
        <w:rPr>
          <w:rStyle w:val="NormalTok"/>
        </w:rPr>
        <w:t xml:space="preserve">    )</w:t>
      </w:r>
      <w:r>
        <w:br/>
      </w:r>
      <w:r>
        <w:rPr>
          <w:rStyle w:val="KeywordTok"/>
        </w:rPr>
        <w:t xml:space="preserve">end</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59" Target="media/rId59.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03" Target="media/rId103.png" /><Relationship Type="http://schemas.openxmlformats.org/officeDocument/2006/relationships/hyperlink" Id="rId139" Target="https://github.com/LinaQuinteroF/proyecto-cgsm" TargetMode="External" /><Relationship Type="http://schemas.openxmlformats.org/officeDocument/2006/relationships/hyperlink" Id="rId20" Target="https://github.com/linaq11/proyecto-cgsm-curso" TargetMode="External" /></Relationships>
</file>

<file path=word/_rels/footnotes.xml.rels><?xml version="1.0" encoding="UTF-8"?><Relationships xmlns="http://schemas.openxmlformats.org/package/2006/relationships"><Relationship Type="http://schemas.openxmlformats.org/officeDocument/2006/relationships/hyperlink" Id="rId139" Target="https://github.com/LinaQuinteroF/proyecto-cgsm" TargetMode="External" /><Relationship Type="http://schemas.openxmlformats.org/officeDocument/2006/relationships/hyperlink" Id="rId20" Target="https://github.com/linaq11/proyecto-cgsm-curs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2026-05-24T02:45:44Z</dcterms:created>
  <dcterms:modified xsi:type="dcterms:W3CDTF">2026-05-24T02:45:44Z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