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Color Palette Proposal</w:t>
      </w:r>
    </w:p>
    <w:p>
      <w:pPr>
        <w:spacing w:after="100"/>
        <w:jc w:val="center"/>
      </w:pPr>
      <w:r>
        <w:rPr>
          <w:rFonts w:ascii="Arial" w:cs="Arial" w:eastAsia="Arial" w:hAnsi="Arial"/>
          <w:color w:val="666666"/>
          <w:sz w:val="24"/>
          <w:szCs w:val="24"/>
        </w:rPr>
        <w:t xml:space="preserve">for</w:t>
      </w:r>
    </w:p>
    <w:p>
      <w:pPr>
        <w:spacing w:after="400"/>
        <w:jc w:val="center"/>
      </w:pPr>
      <w:r>
        <w:rPr>
          <w:rFonts w:ascii="Arial" w:cs="Arial" w:eastAsia="Arial" w:hAnsi="Arial"/>
          <w:b/>
          <w:bCs/>
          <w:color w:val="E94F37"/>
          <w:sz w:val="56"/>
          <w:szCs w:val="56"/>
        </w:rPr>
        <w:t xml:space="preserve">UGOKI</w:t>
      </w:r>
    </w:p>
    <w:p>
      <w:pPr>
        <w:pStyle w:val="Subtitle"/>
      </w:pPr>
      <w:r>
        <w:rPr>
          <w:i/>
          <w:iCs/>
        </w:rPr>
        <w:t xml:space="preserve">A Visual Identity Rooted in Movement</w:t>
      </w:r>
    </w:p>
    <w:p>
      <w:pPr>
        <w:spacing w:after="400"/>
        <w:jc w:val="center"/>
      </w:pPr>
      <w:r>
        <w:rPr>
          <w:color w:val="E94F37"/>
        </w:rPr>
        <w:t xml:space="preserve">______________________</w:t>
      </w:r>
    </w:p>
    <w:p>
      <w:pPr>
        <w:pStyle w:val="Heading1"/>
      </w:pPr>
      <w:r>
        <w:t xml:space="preserve">Project Overview: Understanding UGOKI</w:t>
      </w:r>
    </w:p>
    <w:p>
      <w:pPr>
        <w:spacing w:after="200"/>
      </w:pPr>
      <w:r>
        <w:rPr>
          <w:b w:val="false"/>
          <w:bCs w:val="false"/>
        </w:rPr>
        <w:t xml:space="preserve">UGOKI (</w:t>
      </w:r>
      <w:r>
        <w:rPr>
          <w:b/>
          <w:bCs/>
          <w:color w:val="E94F37"/>
        </w:rPr>
        <w:t xml:space="preserve">動き</w:t>
      </w:r>
      <w:r>
        <w:t xml:space="preserve">) is the Japanese word meaning </w:t>
      </w:r>
      <w:r>
        <w:rPr>
          <w:b/>
          <w:bCs/>
        </w:rPr>
        <w:t xml:space="preserve">movement, motion, activity, trend, development,</w:t>
      </w:r>
      <w:r>
        <w:t xml:space="preserve"> and </w:t>
      </w:r>
      <w:r>
        <w:rPr>
          <w:b/>
          <w:bCs/>
        </w:rPr>
        <w:t xml:space="preserve">change</w:t>
      </w:r>
      <w:r>
        <w:t xml:space="preserve">. This powerful concept forms the philosophical foundation of our wellness platform, embodying the continuous journey toward better health.</w:t>
      </w:r>
    </w:p>
    <w:p>
      <w:pPr>
        <w:spacing w:after="200"/>
      </w:pPr>
      <w:r>
        <w:rPr>
          <w:b/>
          <w:bCs/>
        </w:rPr>
        <w:t xml:space="preserve">Primary Goals: </w:t>
      </w:r>
      <w:r>
        <w:t xml:space="preserve">UGOKI aims to be the definitive wellness companion for busy professionals, integrating intermittent fasting, HIIT workouts, personalised nutrition, and AI-powered coaching into a seamless, time-efficient experience.</w:t>
      </w:r>
    </w:p>
    <w:p>
      <w:pPr>
        <w:spacing w:after="200"/>
      </w:pPr>
      <w:r>
        <w:rPr>
          <w:b/>
          <w:bCs/>
        </w:rPr>
        <w:t xml:space="preserve">Target Audience: </w:t>
      </w:r>
      <w:r>
        <w:t xml:space="preserve">Professionals aged 25-60 who value their health but struggle with time constraints. These are driven individuals seeking energy optimisation, mental clarity, and sustainable wellness habits that fit their demanding schedules.</w:t>
      </w:r>
    </w:p>
    <w:p>
      <w:pPr>
        <w:spacing w:after="300"/>
      </w:pPr>
      <w:r>
        <w:rPr>
          <w:b/>
          <w:bCs/>
        </w:rPr>
        <w:t xml:space="preserve">Visual Identity Imperative: </w:t>
      </w:r>
      <w:r>
        <w:t xml:space="preserve">The color palette must evoke dynamism, trustworthiness, and forward momentum whilst maintaining approachability and warmth essential for a personal wellness journey.</w:t>
      </w:r>
    </w:p>
    <w:p>
      <w:pPr>
        <w:pStyle w:val="Heading1"/>
      </w:pPr>
      <w:r>
        <w:t xml:space="preserve">Proposed Color Palette</w:t>
      </w:r>
    </w:p>
    <w:p>
      <w:pPr>
        <w:pStyle w:val="Heading2"/>
      </w:pPr>
      <w:r>
        <w:t xml:space="preserve">Primary Color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E94F37" w:val="clear"/>
            <w:tcMar>
              <w:top w:type="dxa" w:w="200"/>
              <w:left w:type="dxa" w:w="200"/>
              <w:bottom w:type="dxa" w:w="200"/>
              <w:right w:type="dxa" w:w="200"/>
            </w:tcMar>
            <w:vAlign w:val="center"/>
          </w:tcPr>
          <w:p>
            <w:pPr>
              <w:jc w:val="center"/>
            </w:pPr>
            <w:r>
              <w:rPr>
                <w:b/>
                <w:bCs/>
                <w:color w:val="FFFFFF"/>
                <w:sz w:val="20"/>
                <w:szCs w:val="20"/>
              </w:rPr>
              <w:t xml:space="preserve">#E94F37</w:t>
            </w:r>
          </w:p>
        </w:tc>
        <w:tc>
          <w:tcPr>
            <w:tcW w:type="dxa" w:w="7580"/>
            <w:tcMar>
              <w:top w:type="dxa" w:w="150"/>
              <w:left w:type="dxa" w:w="200"/>
              <w:bottom w:type="dxa" w:w="150"/>
              <w:right w:type="dxa" w:w="200"/>
            </w:tcMar>
          </w:tcPr>
          <w:p>
            <w:pPr>
              <w:spacing w:after="80"/>
            </w:pPr>
            <w:r>
              <w:rPr>
                <w:b/>
                <w:bCs/>
                <w:sz w:val="24"/>
                <w:szCs w:val="24"/>
              </w:rPr>
              <w:t xml:space="preserve">Kinetic Coral</w:t>
            </w:r>
          </w:p>
          <w:p>
            <w:r>
              <w:rPr>
                <w:sz w:val="20"/>
                <w:szCs w:val="20"/>
              </w:rPr>
              <w:t xml:space="preserve">A vibrant, energising coral that captures the essence of movement and vitality. This warm, action-oriented hue differentiates UGOKI from competitors whilst evoking the passion and determination required for wellness transformation.</w:t>
            </w:r>
          </w:p>
        </w:tc>
      </w:tr>
    </w:tbl>
    <w:p>
      <w:pPr>
        <w:spacing w:after="200"/>
      </w:pPr>
    </w:p>
    <w:p>
      <w:pPr>
        <w:pStyle w:val="Heading2"/>
      </w:pPr>
      <w:r>
        <w:t xml:space="preserve">Secondary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1F2041" w:val="clear"/>
            <w:tcMar>
              <w:top w:type="dxa" w:w="200"/>
              <w:left w:type="dxa" w:w="200"/>
              <w:bottom w:type="dxa" w:w="200"/>
              <w:right w:type="dxa" w:w="200"/>
            </w:tcMar>
            <w:vAlign w:val="center"/>
          </w:tcPr>
          <w:p>
            <w:pPr>
              <w:jc w:val="center"/>
            </w:pPr>
            <w:r>
              <w:rPr>
                <w:b/>
                <w:bCs/>
                <w:color w:val="FFFFFF"/>
                <w:sz w:val="20"/>
                <w:szCs w:val="20"/>
              </w:rPr>
              <w:t xml:space="preserve">#1F2041</w:t>
            </w:r>
          </w:p>
        </w:tc>
        <w:tc>
          <w:tcPr>
            <w:tcW w:type="dxa" w:w="7580"/>
            <w:tcMar>
              <w:top w:type="dxa" w:w="150"/>
              <w:left w:type="dxa" w:w="200"/>
              <w:bottom w:type="dxa" w:w="150"/>
              <w:right w:type="dxa" w:w="200"/>
            </w:tcMar>
          </w:tcPr>
          <w:p>
            <w:pPr>
              <w:spacing w:after="80"/>
            </w:pPr>
            <w:r>
              <w:rPr>
                <w:b/>
                <w:bCs/>
                <w:sz w:val="24"/>
                <w:szCs w:val="24"/>
              </w:rPr>
              <w:t xml:space="preserve">Midnight Indigo</w:t>
            </w:r>
          </w:p>
          <w:p>
            <w:r>
              <w:rPr>
                <w:sz w:val="20"/>
                <w:szCs w:val="20"/>
              </w:rPr>
              <w:t xml:space="preserve">A sophisticated deep indigo that conveys trust, technological sophistication, and professional credibility. Anchors the brand with gravitas whilst providing excellent contrast for text and UI elements.</w:t>
            </w:r>
          </w:p>
        </w:tc>
      </w:tr>
      <w:tr>
        <w:tc>
          <w:tcPr>
            <w:tcW w:type="dxa" w:w="2500"/>
            <w:tcBorders>
              <w:top w:val="single" w:color="CCCCCC" w:sz="1"/>
              <w:left w:val="single" w:color="CCCCCC" w:sz="1"/>
              <w:bottom w:val="single" w:color="CCCCCC" w:sz="1"/>
              <w:right w:val="single" w:color="CCCCCC" w:sz="1"/>
            </w:tcBorders>
            <w:shd w:fill="F5F3EF" w:val="clear"/>
            <w:tcMar>
              <w:top w:type="dxa" w:w="200"/>
              <w:left w:type="dxa" w:w="200"/>
              <w:bottom w:type="dxa" w:w="200"/>
              <w:right w:type="dxa" w:w="200"/>
            </w:tcMar>
            <w:vAlign w:val="center"/>
          </w:tcPr>
          <w:p>
            <w:pPr>
              <w:jc w:val="center"/>
            </w:pPr>
            <w:r>
              <w:rPr>
                <w:b/>
                <w:bCs/>
                <w:color w:val="1F2041"/>
                <w:sz w:val="20"/>
                <w:szCs w:val="20"/>
              </w:rPr>
              <w:t xml:space="preserve">#F5F3EF</w:t>
            </w:r>
          </w:p>
        </w:tc>
        <w:tc>
          <w:tcPr>
            <w:tcW w:type="dxa" w:w="7580"/>
            <w:tcMar>
              <w:top w:type="dxa" w:w="150"/>
              <w:left w:type="dxa" w:w="200"/>
              <w:bottom w:type="dxa" w:w="150"/>
              <w:right w:type="dxa" w:w="200"/>
            </w:tcMar>
          </w:tcPr>
          <w:p>
            <w:pPr>
              <w:spacing w:after="80"/>
            </w:pPr>
            <w:r>
              <w:rPr>
                <w:b/>
                <w:bCs/>
                <w:sz w:val="24"/>
                <w:szCs w:val="24"/>
              </w:rPr>
              <w:t xml:space="preserve">Pearl Mist</w:t>
            </w:r>
          </w:p>
          <w:p>
            <w:r>
              <w:rPr>
                <w:sz w:val="20"/>
                <w:szCs w:val="20"/>
              </w:rPr>
              <w:t xml:space="preserve">A warm, creamy off-white that provides visual breathing room and premium positioning. Creates balance against the more vibrant palette elements whilst maintaining warmth and approachability.</w:t>
            </w:r>
          </w:p>
        </w:tc>
      </w:tr>
    </w:tbl>
    <w:p>
      <w:pPr>
        <w:spacing w:after="200"/>
      </w:pPr>
    </w:p>
    <w:p>
      <w:pPr>
        <w:pStyle w:val="Heading2"/>
      </w:pPr>
      <w:r>
        <w:t xml:space="preserve">Accent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FFBC42" w:val="clear"/>
            <w:tcMar>
              <w:top w:type="dxa" w:w="200"/>
              <w:left w:type="dxa" w:w="200"/>
              <w:bottom w:type="dxa" w:w="200"/>
              <w:right w:type="dxa" w:w="200"/>
            </w:tcMar>
            <w:vAlign w:val="center"/>
          </w:tcPr>
          <w:p>
            <w:pPr>
              <w:jc w:val="center"/>
            </w:pPr>
            <w:r>
              <w:rPr>
                <w:b/>
                <w:bCs/>
                <w:color w:val="1F2041"/>
                <w:sz w:val="20"/>
                <w:szCs w:val="20"/>
              </w:rPr>
              <w:t xml:space="preserve">#FFBC42</w:t>
            </w:r>
          </w:p>
        </w:tc>
        <w:tc>
          <w:tcPr>
            <w:tcW w:type="dxa" w:w="7580"/>
            <w:tcMar>
              <w:top w:type="dxa" w:w="150"/>
              <w:left w:type="dxa" w:w="200"/>
              <w:bottom w:type="dxa" w:w="150"/>
              <w:right w:type="dxa" w:w="200"/>
            </w:tcMar>
          </w:tcPr>
          <w:p>
            <w:pPr>
              <w:spacing w:after="80"/>
            </w:pPr>
            <w:r>
              <w:rPr>
                <w:b/>
                <w:bCs/>
                <w:sz w:val="24"/>
                <w:szCs w:val="24"/>
              </w:rPr>
              <w:t xml:space="preserve">Sunrise Gold</w:t>
            </w:r>
          </w:p>
          <w:p>
            <w:r>
              <w:rPr>
                <w:sz w:val="20"/>
                <w:szCs w:val="20"/>
              </w:rPr>
              <w:t xml:space="preserve">An optimistic, warm gold representing achievement, energy, and the dawn of new beginnings. Ideal for gamification elements, milestone celebrations, and call-to-action highlights.</w:t>
            </w:r>
          </w:p>
        </w:tc>
      </w:tr>
      <w:tr>
        <w:tc>
          <w:tcPr>
            <w:tcW w:type="dxa" w:w="2500"/>
            <w:shd w:fill="17BEBB" w:val="clear"/>
            <w:tcMar>
              <w:top w:type="dxa" w:w="200"/>
              <w:left w:type="dxa" w:w="200"/>
              <w:bottom w:type="dxa" w:w="200"/>
              <w:right w:type="dxa" w:w="200"/>
            </w:tcMar>
            <w:vAlign w:val="center"/>
          </w:tcPr>
          <w:p>
            <w:pPr>
              <w:jc w:val="center"/>
            </w:pPr>
            <w:r>
              <w:rPr>
                <w:b/>
                <w:bCs/>
                <w:color w:val="FFFFFF"/>
                <w:sz w:val="20"/>
                <w:szCs w:val="20"/>
              </w:rPr>
              <w:t xml:space="preserve">#17BEBB</w:t>
            </w:r>
          </w:p>
        </w:tc>
        <w:tc>
          <w:tcPr>
            <w:tcW w:type="dxa" w:w="7580"/>
            <w:tcMar>
              <w:top w:type="dxa" w:w="150"/>
              <w:left w:type="dxa" w:w="200"/>
              <w:bottom w:type="dxa" w:w="150"/>
              <w:right w:type="dxa" w:w="200"/>
            </w:tcMar>
          </w:tcPr>
          <w:p>
            <w:pPr>
              <w:spacing w:after="80"/>
            </w:pPr>
            <w:r>
              <w:rPr>
                <w:b/>
                <w:bCs/>
                <w:sz w:val="24"/>
                <w:szCs w:val="24"/>
              </w:rPr>
              <w:t xml:space="preserve">Zen Teal</w:t>
            </w:r>
          </w:p>
          <w:p>
            <w:r>
              <w:rPr>
                <w:sz w:val="20"/>
                <w:szCs w:val="20"/>
              </w:rPr>
              <w:t xml:space="preserve">A refreshing, tranquil teal that represents health, balance, and mindfulness. Perfect for wellness metrics, meditation features, and success indicators throughout the interface.</w:t>
            </w:r>
          </w:p>
        </w:tc>
      </w:tr>
    </w:tbl>
    <w:p>
      <w:pPr>
        <w:spacing w:after="300"/>
      </w:pPr>
    </w:p>
    <w:p>
      <w:pPr>
        <w:pStyle w:val="Heading1"/>
      </w:pPr>
      <w:r>
        <w:t xml:space="preserve">Visual Representation &amp; Mood Board</w:t>
      </w:r>
    </w:p>
    <w:p>
      <w:pPr>
        <w:spacing w:after="200"/>
      </w:pPr>
      <w:r>
        <w:t xml:space="preserve">The UGOKI palette draws inspiration from the contrast between dynamic energy and mindful calm, reflecting the balance between intense HIIT workouts and restorative intermittent fasting periods.</w:t>
      </w:r>
    </w:p>
    <w:p>
      <w:pPr>
        <w:pStyle w:val="Heading2"/>
      </w:pPr>
      <w:r>
        <w:t xml:space="preserve">Application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shd w:fill="F5F3EF" w:val="clear"/>
            <w:tcMar>
              <w:top w:type="dxa" w:w="120"/>
              <w:left w:type="dxa" w:w="150"/>
              <w:bottom w:type="dxa" w:w="120"/>
              <w:right w:type="dxa" w:w="150"/>
            </w:tcMar>
          </w:tcPr>
          <w:p>
            <w:r>
              <w:rPr>
                <w:b/>
                <w:bCs/>
                <w:sz w:val="20"/>
                <w:szCs w:val="20"/>
              </w:rPr>
              <w:t xml:space="preserve">Mobile App Interface</w:t>
            </w:r>
          </w:p>
        </w:tc>
        <w:tc>
          <w:tcPr>
            <w:tcW w:type="dxa" w:w="6720"/>
            <w:tcMar>
              <w:top w:type="dxa" w:w="120"/>
              <w:left w:type="dxa" w:w="150"/>
              <w:bottom w:type="dxa" w:w="120"/>
              <w:right w:type="dxa" w:w="150"/>
            </w:tcMar>
          </w:tcPr>
          <w:p>
            <w:r>
              <w:rPr>
                <w:sz w:val="20"/>
                <w:szCs w:val="20"/>
              </w:rPr>
              <w:t xml:space="preserve">Pearl Mist backgrounds, Kinetic Coral CTAs, Midnight Indigo text, Zen Teal for health metrics</w:t>
            </w:r>
          </w:p>
        </w:tc>
      </w:tr>
      <w:tr>
        <w:tc>
          <w:tcPr>
            <w:tcW w:type="dxa" w:w="3360"/>
            <w:shd w:fill="F5F3EF" w:val="clear"/>
            <w:tcMar>
              <w:top w:type="dxa" w:w="120"/>
              <w:left w:type="dxa" w:w="150"/>
              <w:bottom w:type="dxa" w:w="120"/>
              <w:right w:type="dxa" w:w="150"/>
            </w:tcMar>
          </w:tcPr>
          <w:p>
            <w:r>
              <w:rPr>
                <w:b/>
                <w:bCs/>
                <w:sz w:val="20"/>
                <w:szCs w:val="20"/>
              </w:rPr>
              <w:t xml:space="preserve">Avatar Gamification</w:t>
            </w:r>
          </w:p>
        </w:tc>
        <w:tc>
          <w:tcPr>
            <w:tcW w:type="dxa" w:w="6720"/>
            <w:tcMar>
              <w:top w:type="dxa" w:w="120"/>
              <w:left w:type="dxa" w:w="150"/>
              <w:bottom w:type="dxa" w:w="120"/>
              <w:right w:type="dxa" w:w="150"/>
            </w:tcMar>
          </w:tcPr>
          <w:p>
            <w:r>
              <w:rPr>
                <w:sz w:val="20"/>
                <w:szCs w:val="20"/>
              </w:rPr>
              <w:t xml:space="preserve">Sunrise Gold for achievements and rewards, Kinetic Coral for energy levels, Zen Teal for wellness progress</w:t>
            </w:r>
          </w:p>
        </w:tc>
      </w:tr>
      <w:tr>
        <w:tc>
          <w:tcPr>
            <w:tcW w:type="dxa" w:w="3360"/>
            <w:shd w:fill="F5F3EF" w:val="clear"/>
            <w:tcMar>
              <w:top w:type="dxa" w:w="120"/>
              <w:left w:type="dxa" w:w="150"/>
              <w:bottom w:type="dxa" w:w="120"/>
              <w:right w:type="dxa" w:w="150"/>
            </w:tcMar>
          </w:tcPr>
          <w:p>
            <w:r>
              <w:rPr>
                <w:b/>
                <w:bCs/>
                <w:sz w:val="20"/>
                <w:szCs w:val="20"/>
              </w:rPr>
              <w:t xml:space="preserve">Marketing Materials</w:t>
            </w:r>
          </w:p>
        </w:tc>
        <w:tc>
          <w:tcPr>
            <w:tcW w:type="dxa" w:w="6720"/>
            <w:tcMar>
              <w:top w:type="dxa" w:w="120"/>
              <w:left w:type="dxa" w:w="150"/>
              <w:bottom w:type="dxa" w:w="120"/>
              <w:right w:type="dxa" w:w="150"/>
            </w:tcMar>
          </w:tcPr>
          <w:p>
            <w:r>
              <w:rPr>
                <w:sz w:val="20"/>
                <w:szCs w:val="20"/>
              </w:rPr>
              <w:t xml:space="preserve">Kinetic Coral hero elements, Midnight Indigo headlines, Pearl Mist negative space for premium positioning</w:t>
            </w:r>
          </w:p>
        </w:tc>
      </w:tr>
      <w:tr>
        <w:tc>
          <w:tcPr>
            <w:tcW w:type="dxa" w:w="3360"/>
            <w:shd w:fill="F5F3EF" w:val="clear"/>
            <w:tcMar>
              <w:top w:type="dxa" w:w="120"/>
              <w:left w:type="dxa" w:w="150"/>
              <w:bottom w:type="dxa" w:w="120"/>
              <w:right w:type="dxa" w:w="150"/>
            </w:tcMar>
          </w:tcPr>
          <w:p>
            <w:r>
              <w:rPr>
                <w:b/>
                <w:bCs/>
                <w:sz w:val="20"/>
                <w:szCs w:val="20"/>
              </w:rPr>
              <w:t xml:space="preserve">Social Media</w:t>
            </w:r>
          </w:p>
        </w:tc>
        <w:tc>
          <w:tcPr>
            <w:tcW w:type="dxa" w:w="6720"/>
            <w:tcMar>
              <w:top w:type="dxa" w:w="120"/>
              <w:left w:type="dxa" w:w="150"/>
              <w:bottom w:type="dxa" w:w="120"/>
              <w:right w:type="dxa" w:w="150"/>
            </w:tcMar>
          </w:tcPr>
          <w:p>
            <w:r>
              <w:rPr>
                <w:sz w:val="20"/>
                <w:szCs w:val="20"/>
              </w:rPr>
              <w:t xml:space="preserve">Bold Kinetic Coral gradients with Sunrise Gold accents for engagement and scroll-stopping impact</w:t>
            </w:r>
          </w:p>
        </w:tc>
      </w:tr>
    </w:tbl>
    <w:p>
      <w:pPr>
        <w:spacing w:after="300"/>
      </w:pPr>
    </w:p>
    <w:p>
      <w:pPr>
        <w:pStyle w:val="Heading1"/>
      </w:pPr>
      <w:r>
        <w:t xml:space="preserve">Rationale and Color Psychology</w:t>
      </w:r>
    </w:p>
    <w:p>
      <w:pPr>
        <w:spacing w:after="200"/>
      </w:pPr>
      <w:r>
        <w:t xml:space="preserve">Each color in the UGOKI palette has been strategically selected to evoke specific emotional responses aligned with brand values and user journey touchpoints.</w:t>
      </w:r>
    </w:p>
    <w:p>
      <w:pPr>
        <w:spacing w:after="150"/>
      </w:pPr>
      <w:r>
        <w:rPr>
          <w:b/>
          <w:bCs/>
          <w:color w:val="E94F37"/>
        </w:rPr>
        <w:t xml:space="preserve">Kinetic Coral (#E94F37) </w:t>
      </w:r>
      <w:r>
        <w:rPr>
          <w:i/>
          <w:iCs/>
        </w:rPr>
        <w:t xml:space="preserve">| Energy &amp; Action</w:t>
      </w:r>
    </w:p>
    <w:p>
      <w:pPr>
        <w:spacing w:after="200"/>
      </w:pPr>
      <w:r>
        <w:t xml:space="preserve">Coral tones stimulate enthusiasm and physical energy, making it ideal for a fitness-focused brand. This shade specifically avoids aggressive red associations whilst maintaining motivational impact. It signals action, urgency, and transformation.</w:t>
      </w:r>
    </w:p>
    <w:p>
      <w:pPr>
        <w:spacing w:after="150"/>
      </w:pPr>
      <w:r>
        <w:rPr>
          <w:b/>
          <w:bCs/>
          <w:color w:val="1F2041"/>
        </w:rPr>
        <w:t xml:space="preserve">Midnight Indigo (#1F2041) </w:t>
      </w:r>
      <w:r>
        <w:rPr>
          <w:i/>
          <w:iCs/>
        </w:rPr>
        <w:t xml:space="preserve">| Trust &amp; Intelligence</w:t>
      </w:r>
    </w:p>
    <w:p>
      <w:pPr>
        <w:spacing w:after="200"/>
      </w:pPr>
      <w:r>
        <w:t xml:space="preserve">Deep indigo conveys technological sophistication and intellectual authority, essential for positioning the AI-powered coaching features. It establishes credibility with busy professionals who demand evidence-based wellness solutions.</w:t>
      </w:r>
    </w:p>
    <w:p>
      <w:pPr>
        <w:spacing w:after="150"/>
      </w:pPr>
      <w:r>
        <w:rPr>
          <w:b/>
          <w:bCs/>
        </w:rPr>
        <w:t xml:space="preserve">Pearl Mist (#F5F3EF) </w:t>
      </w:r>
      <w:r>
        <w:rPr>
          <w:i/>
          <w:iCs/>
        </w:rPr>
        <w:t xml:space="preserve">| Calm &amp; Premium</w:t>
      </w:r>
    </w:p>
    <w:p>
      <w:pPr>
        <w:spacing w:after="200"/>
      </w:pPr>
      <w:r>
        <w:t xml:space="preserve">Warm off-whites create psychological breathing room, essential for wellness applications. This tone elevates the brand perception whilst providing visual relief from the more intense palette elements. It suggests cleanliness, simplicity, and focus.</w:t>
      </w:r>
    </w:p>
    <w:p>
      <w:pPr>
        <w:spacing w:after="150"/>
      </w:pPr>
      <w:r>
        <w:rPr>
          <w:b/>
          <w:bCs/>
          <w:color w:val="FFBC42"/>
        </w:rPr>
        <w:t xml:space="preserve">Sunrise Gold (#FFBC42) </w:t>
      </w:r>
      <w:r>
        <w:rPr>
          <w:i/>
          <w:iCs/>
        </w:rPr>
        <w:t xml:space="preserve">| Achievement &amp; Optimism</w:t>
      </w:r>
    </w:p>
    <w:p>
      <w:pPr>
        <w:spacing w:after="200"/>
      </w:pPr>
      <w:r>
        <w:t xml:space="preserve">Gold universally represents achievement, success, and value. In UGOKI, it reinforces the gamification system, celebrating user milestones and creating positive associations with consistent app engagement. It communicates premium value without pretension.</w:t>
      </w:r>
    </w:p>
    <w:p>
      <w:pPr>
        <w:spacing w:after="150"/>
      </w:pPr>
      <w:r>
        <w:rPr>
          <w:b/>
          <w:bCs/>
          <w:color w:val="17BEBB"/>
        </w:rPr>
        <w:t xml:space="preserve">Zen Teal (#17BEBB) </w:t>
      </w:r>
      <w:r>
        <w:rPr>
          <w:i/>
          <w:iCs/>
        </w:rPr>
        <w:t xml:space="preserve">| Health &amp; Balance</w:t>
      </w:r>
    </w:p>
    <w:p>
      <w:pPr>
        <w:spacing w:after="300"/>
      </w:pPr>
      <w:r>
        <w:t xml:space="preserve">Teal uniquely bridges the energising qualities of green with the calming properties of blue. It represents the holistic balance central to UGOKI's four-pillar approach: movement, nutrition, fasting, and mindfulness. Research shows teal improves concentration.</w:t>
      </w:r>
    </w:p>
    <w:p>
      <w:pPr>
        <w:pStyle w:val="Heading1"/>
      </w:pPr>
      <w:r>
        <w:t xml:space="preserve">Conclusion</w:t>
      </w:r>
    </w:p>
    <w:p>
      <w:pPr>
        <w:spacing w:after="200"/>
      </w:pPr>
      <w:r>
        <w:t xml:space="preserve">The proposed UGOKI color palette delivers a strategically differentiated visual identity that stands apart from competitors' overuse of blues and greens. </w:t>
      </w:r>
      <w:r>
        <w:rPr>
          <w:b/>
          <w:bCs/>
        </w:rPr>
        <w:t xml:space="preserve">Kinetic Coral</w:t>
      </w:r>
      <w:r>
        <w:t xml:space="preserve"> as the primary color creates immediate brand recognition whilst embodying the Japanese concept of movement (動き).</w:t>
      </w:r>
    </w:p>
    <w:p>
      <w:pPr>
        <w:spacing w:after="200"/>
      </w:pPr>
      <w:r>
        <w:t xml:space="preserve">The supporting palette of </w:t>
      </w:r>
      <w:r>
        <w:rPr>
          <w:b/>
          <w:bCs/>
        </w:rPr>
        <w:t xml:space="preserve">Midnight Indigo</w:t>
      </w:r>
      <w:r>
        <w:t xml:space="preserve"> and </w:t>
      </w:r>
      <w:r>
        <w:rPr>
          <w:b/>
          <w:bCs/>
        </w:rPr>
        <w:t xml:space="preserve">Pearl Mist</w:t>
      </w:r>
      <w:r>
        <w:t xml:space="preserve"> establishes professional credibility and visual hierarchy, whilst </w:t>
      </w:r>
      <w:r>
        <w:rPr>
          <w:b/>
          <w:bCs/>
        </w:rPr>
        <w:t xml:space="preserve">Sunrise Gold</w:t>
      </w:r>
      <w:r>
        <w:t xml:space="preserve"> and </w:t>
      </w:r>
      <w:r>
        <w:rPr>
          <w:b/>
          <w:bCs/>
        </w:rPr>
        <w:t xml:space="preserve">Zen Teal</w:t>
      </w:r>
      <w:r>
        <w:t xml:space="preserve"> accents drive engagement through gamification and wellness progress tracking.</w:t>
      </w:r>
    </w:p>
    <w:p>
      <w:pPr>
        <w:spacing w:after="200"/>
      </w:pPr>
      <w:r>
        <w:t xml:space="preserve">This palette successfully balances dynamism with trustworthiness, innovation with approachability, and energy with calm, perfectly reflecting the comprehensive wellness journey UGOKI offers to busy professionals seeking sustainable health transformation.</w:t>
      </w:r>
    </w:p>
    <w:p>
      <w:pPr>
        <w:spacing w:before="200" w:after="150"/>
      </w:pPr>
      <w:r>
        <w:rPr>
          <w:b/>
          <w:bCs/>
          <w:sz w:val="24"/>
          <w:szCs w:val="24"/>
        </w:rPr>
        <w:t xml:space="preserve">Complete Palette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shd w:fill="E94F37" w:val="clear"/>
            <w:tcMar>
              <w:top w:type="dxa" w:w="150"/>
              <w:left w:type="dxa" w:w="80"/>
              <w:bottom w:type="dxa" w:w="150"/>
              <w:right w:type="dxa" w:w="80"/>
            </w:tcMar>
          </w:tcPr>
          <w:p>
            <w:pPr>
              <w:jc w:val="center"/>
            </w:pPr>
            <w:r>
              <w:rPr>
                <w:b/>
                <w:bCs/>
                <w:color w:val="FFFFFF"/>
                <w:sz w:val="16"/>
                <w:szCs w:val="16"/>
              </w:rPr>
              <w:t xml:space="preserve">PRIMARY</w:t>
            </w:r>
          </w:p>
          <w:p>
            <w:pPr>
              <w:jc w:val="center"/>
            </w:pPr>
            <w:r>
              <w:rPr>
                <w:color w:val="FFFFFF"/>
                <w:sz w:val="18"/>
                <w:szCs w:val="18"/>
              </w:rPr>
              <w:t xml:space="preserve">#E94F37</w:t>
            </w:r>
          </w:p>
        </w:tc>
        <w:tc>
          <w:tcPr>
            <w:tcW w:type="dxa" w:w="2016"/>
            <w:shd w:fill="1F2041" w:val="clear"/>
            <w:tcMar>
              <w:top w:type="dxa" w:w="150"/>
              <w:left w:type="dxa" w:w="80"/>
              <w:bottom w:type="dxa" w:w="150"/>
              <w:right w:type="dxa" w:w="80"/>
            </w:tcMar>
          </w:tcPr>
          <w:p>
            <w:pPr>
              <w:jc w:val="center"/>
            </w:pPr>
            <w:r>
              <w:rPr>
                <w:b/>
                <w:bCs/>
                <w:color w:val="FFFFFF"/>
                <w:sz w:val="16"/>
                <w:szCs w:val="16"/>
              </w:rPr>
              <w:t xml:space="preserve">SECONDARY</w:t>
            </w:r>
          </w:p>
          <w:p>
            <w:pPr>
              <w:jc w:val="center"/>
            </w:pPr>
            <w:r>
              <w:rPr>
                <w:color w:val="FFFFFF"/>
                <w:sz w:val="18"/>
                <w:szCs w:val="18"/>
              </w:rPr>
              <w:t xml:space="preserve">#1F2041</w:t>
            </w:r>
          </w:p>
        </w:tc>
        <w:tc>
          <w:tcPr>
            <w:tcW w:type="dxa" w:w="2016"/>
            <w:tcBorders>
              <w:top w:val="single" w:color="CCCCCC" w:sz="1"/>
              <w:left w:val="single" w:color="CCCCCC" w:sz="1"/>
              <w:bottom w:val="single" w:color="CCCCCC" w:sz="1"/>
              <w:right w:val="single" w:color="CCCCCC" w:sz="1"/>
            </w:tcBorders>
            <w:shd w:fill="F5F3EF" w:val="clear"/>
            <w:tcMar>
              <w:top w:type="dxa" w:w="150"/>
              <w:left w:type="dxa" w:w="80"/>
              <w:bottom w:type="dxa" w:w="150"/>
              <w:right w:type="dxa" w:w="80"/>
            </w:tcMar>
          </w:tcPr>
          <w:p>
            <w:pPr>
              <w:jc w:val="center"/>
            </w:pPr>
            <w:r>
              <w:rPr>
                <w:b/>
                <w:bCs/>
                <w:color w:val="1F2041"/>
                <w:sz w:val="16"/>
                <w:szCs w:val="16"/>
              </w:rPr>
              <w:t xml:space="preserve">SECONDARY</w:t>
            </w:r>
          </w:p>
          <w:p>
            <w:pPr>
              <w:jc w:val="center"/>
            </w:pPr>
            <w:r>
              <w:rPr>
                <w:color w:val="1F2041"/>
                <w:sz w:val="18"/>
                <w:szCs w:val="18"/>
              </w:rPr>
              <w:t xml:space="preserve">#F5F3EF</w:t>
            </w:r>
          </w:p>
        </w:tc>
        <w:tc>
          <w:tcPr>
            <w:tcW w:type="dxa" w:w="2016"/>
            <w:shd w:fill="FFBC42" w:val="clear"/>
            <w:tcMar>
              <w:top w:type="dxa" w:w="150"/>
              <w:left w:type="dxa" w:w="80"/>
              <w:bottom w:type="dxa" w:w="150"/>
              <w:right w:type="dxa" w:w="80"/>
            </w:tcMar>
          </w:tcPr>
          <w:p>
            <w:pPr>
              <w:jc w:val="center"/>
            </w:pPr>
            <w:r>
              <w:rPr>
                <w:b/>
                <w:bCs/>
                <w:color w:val="1F2041"/>
                <w:sz w:val="16"/>
                <w:szCs w:val="16"/>
              </w:rPr>
              <w:t xml:space="preserve">ACCENT</w:t>
            </w:r>
          </w:p>
          <w:p>
            <w:pPr>
              <w:jc w:val="center"/>
            </w:pPr>
            <w:r>
              <w:rPr>
                <w:color w:val="1F2041"/>
                <w:sz w:val="18"/>
                <w:szCs w:val="18"/>
              </w:rPr>
              <w:t xml:space="preserve">#FFBC42</w:t>
            </w:r>
          </w:p>
        </w:tc>
        <w:tc>
          <w:tcPr>
            <w:tcW w:type="dxa" w:w="2016"/>
            <w:shd w:fill="17BEBB" w:val="clear"/>
            <w:tcMar>
              <w:top w:type="dxa" w:w="150"/>
              <w:left w:type="dxa" w:w="80"/>
              <w:bottom w:type="dxa" w:w="150"/>
              <w:right w:type="dxa" w:w="80"/>
            </w:tcMar>
          </w:tcPr>
          <w:p>
            <w:pPr>
              <w:jc w:val="center"/>
            </w:pPr>
            <w:r>
              <w:rPr>
                <w:b/>
                <w:bCs/>
                <w:color w:val="FFFFFF"/>
                <w:sz w:val="16"/>
                <w:szCs w:val="16"/>
              </w:rPr>
              <w:t xml:space="preserve">ACCENT</w:t>
            </w:r>
          </w:p>
          <w:p>
            <w:pPr>
              <w:jc w:val="center"/>
            </w:pPr>
            <w:r>
              <w:rPr>
                <w:color w:val="FFFFFF"/>
                <w:sz w:val="18"/>
                <w:szCs w:val="18"/>
              </w:rPr>
              <w:t xml:space="preserve">#17BEBB</w:t>
            </w:r>
          </w:p>
        </w:tc>
      </w:tr>
    </w:tbl>
    <w:p>
      <w:pPr>
        <w:spacing w:after="300"/>
      </w:pPr>
    </w:p>
    <w:p>
      <w:pPr>
        <w:spacing w:before="200"/>
        <w:jc w:val="center"/>
      </w:pPr>
      <w:r>
        <w:rPr>
          <w:color w:val="E94F37"/>
        </w:rPr>
        <w:t xml:space="preserve">______________________</w:t>
      </w:r>
    </w:p>
    <w:p>
      <w:pPr>
        <w:spacing w:before="100"/>
        <w:jc w:val="center"/>
      </w:pPr>
      <w:r>
        <w:rPr>
          <w:i/>
          <w:iCs/>
          <w:color w:val="666666"/>
          <w:sz w:val="20"/>
          <w:szCs w:val="20"/>
        </w:rPr>
        <w:t xml:space="preserve">Prepared for UGOKI Senior Marketing Stakeholders</w:t>
      </w:r>
    </w:p>
    <w:p>
      <w:pPr>
        <w:jc w:val="center"/>
      </w:pPr>
      <w:r>
        <w:rPr>
          <w:color w:val="666666"/>
          <w:sz w:val="20"/>
          <w:szCs w:val="20"/>
        </w:rPr>
        <w:t xml:space="preserve">January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w:t>
    </w:r>
    <w:r>
      <w:rPr>
        <w:rFonts w:ascii="Arial" w:cs="Arial" w:eastAsia="Arial" w:hAnsi="Arial"/>
        <w:color w:val="999999"/>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UGOKI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400"/>
      <w:jc w:val="center"/>
    </w:pPr>
    <w:rPr>
      <w:rFonts w:ascii="Arial" w:cs="Arial" w:eastAsia="Arial" w:hAnsi="Arial"/>
      <w:b/>
      <w:bCs/>
      <w:color w:val="1F2041"/>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F2041"/>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E94F37"/>
      <w:sz w:val="26"/>
      <w:szCs w:val="26"/>
    </w:rPr>
  </w:style>
  <w:style w:type="paragraph" w:styleId="Subtitle">
    <w:name w:val="Subtitle"/>
    <w:basedOn w:val="Normal"/>
    <w:next w:val="Normal"/>
    <w:qFormat/>
    <w:pPr>
      <w:spacing w:after="300"/>
      <w:jc w:val="center"/>
    </w:pPr>
    <w:rPr>
      <w:rFonts w:ascii="Arial" w:cs="Arial" w:eastAsia="Arial" w:hAnsi="Arial"/>
      <w:i/>
      <w:i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2026-01-25T09:43:31.465Z</dcterms:created>
  <dcterms:modified xsi:type="dcterms:W3CDTF">2026-01-25T09:43:31.466Z</dcterms:modified>
</cp:coreProperties>
</file>

<file path=docProps/custom.xml><?xml version="1.0" encoding="utf-8"?>
<Properties xmlns="http://schemas.openxmlformats.org/officeDocument/2006/custom-properties" xmlns:vt="http://schemas.openxmlformats.org/officeDocument/2006/docPropsVTypes"/>
</file>