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PROPUESTO SESION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Paquete en ROS usando el controlador de ROBOTIS y un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programa en Python para mover automáticamente el efector final del manipulador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dos posiciones específicas donde se encontrarán dos objetos de diferente color 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forma, y luego trasladarlos a otra posición en la estantería de almacenamiento.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PISTAS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 los objetos están al mismo tiempo en el FOV (Field of VIew) nos arrojarían dos coordenadas distintas, por lo tanto lo mejor es tener dos tópicos.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Usuario debe definir los parámetros de reconocimiento de los objetos ya sea por color o por forma específicos.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robot va a la posición de reconocimiento,El algoritmo sensa los parámetros y determina las coordenadas específicas donde están esos dos objetos, publica cada uno en su tópico.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robot hace tracking al primer objeto, lo agarra, y lo lleva a la posicion 1 de la estanteria (Posicion calibrada anteriormente)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robot vuelve a la posicion de reconocimiento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robot agarra el segundo objeto y lo lleva a la posicion 2 de la estantería(posicion ya calibrada anteriormente).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i. Chequeo de progreso: Se verificará que el robot traslada los objetos 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posiciones definidas en la estantería usando un paquete de evaluación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desarrollado para tal fin, el cual medirá: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Creación del paquete, (7 %)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existencia del directorio launch, (7 %)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existencia del archivo launch, existencia del script de Python, (7 %)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permisos de ejecución del script de Python, (7 %)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se verificará que los objetos se trasladan a coordenadas del espacio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 trabajo previamente definidas. Esto se hará monitoreando la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posición del efector final (72 %).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