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D7A41" w14:textId="77777777" w:rsidR="00EB678C" w:rsidRDefault="00EB678C" w:rsidP="00EB678C">
      <w:pPr>
        <w:spacing w:after="0" w:line="480" w:lineRule="exact"/>
        <w:rPr>
          <w:lang w:eastAsia="zh-TW"/>
        </w:rPr>
      </w:pPr>
      <w:r>
        <w:rPr>
          <w:rFonts w:ascii="微軟正黑體" w:eastAsia="微軟正黑體" w:hAnsi="微軟正黑體"/>
          <w:b/>
          <w:color w:val="FF0000"/>
          <w:lang w:eastAsia="zh-TW"/>
        </w:rPr>
        <w:t>第九節 其他採購評估事項</w:t>
      </w:r>
    </w:p>
    <w:p w14:paraId="4587CF14" w14:textId="77777777" w:rsidR="00EB678C" w:rsidRDefault="00EB678C" w:rsidP="00EB678C">
      <w:pPr>
        <w:rPr>
          <w:lang w:eastAsia="zh-TW"/>
        </w:rPr>
      </w:pPr>
    </w:p>
    <w:p w14:paraId="03ABD11F" w14:textId="77777777" w:rsidR="00EB678C" w:rsidRDefault="00EB678C" w:rsidP="00EB678C">
      <w:pPr>
        <w:pStyle w:val="a9"/>
        <w:ind w:hanging="720"/>
        <w:jc w:val="both"/>
        <w:rPr>
          <w:lang w:eastAsia="zh-TW"/>
        </w:rPr>
      </w:pPr>
      <w:r>
        <w:rPr>
          <w:rFonts w:ascii="微軟正黑體" w:eastAsia="微軟正黑體" w:hAnsi="微軟正黑體"/>
          <w:b/>
          <w:lang w:eastAsia="zh-TW"/>
        </w:rPr>
        <w:t>行政院公共工程委員會95年07月28日工程管字第09500284290號函</w:t>
      </w:r>
    </w:p>
    <w:p w14:paraId="71824F40" w14:textId="77777777" w:rsidR="00EB678C" w:rsidRDefault="00EB678C" w:rsidP="00EB678C">
      <w:pPr>
        <w:pStyle w:val="a9"/>
        <w:ind w:hanging="720"/>
        <w:jc w:val="both"/>
        <w:rPr>
          <w:lang w:eastAsia="zh-TW"/>
        </w:rPr>
      </w:pPr>
      <w:r>
        <w:rPr>
          <w:rFonts w:ascii="新細明體" w:eastAsia="新細明體" w:hAnsi="新細明體"/>
          <w:lang w:eastAsia="zh-TW"/>
        </w:rPr>
        <w:t>主旨：為促進公共工程土石方資源之有效利用，減少土石方運送作業對交通環境之衝擊及相關經費支出，請依說明辦理，並轉知所屬（轄）機關。</w:t>
      </w:r>
    </w:p>
    <w:p w14:paraId="2F2744E9" w14:textId="77777777" w:rsidR="00EB678C" w:rsidRDefault="00EB678C" w:rsidP="00EB678C">
      <w:pPr>
        <w:pStyle w:val="a9"/>
        <w:ind w:hanging="720"/>
        <w:jc w:val="both"/>
        <w:rPr>
          <w:lang w:eastAsia="zh-TW"/>
        </w:rPr>
      </w:pPr>
      <w:r>
        <w:rPr>
          <w:rFonts w:ascii="新細明體" w:eastAsia="新細明體" w:hAnsi="新細明體"/>
          <w:lang w:eastAsia="zh-TW"/>
        </w:rPr>
        <w:t>說明：</w:t>
      </w:r>
    </w:p>
    <w:p w14:paraId="3E8F7084"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一、土石方部分：</w:t>
      </w:r>
    </w:p>
    <w:p w14:paraId="6082DE34"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（一）規劃階段：</w:t>
      </w:r>
    </w:p>
    <w:p w14:paraId="0B167D8C" w14:textId="3D02588D" w:rsidR="00EB678C" w:rsidRDefault="00B50911" w:rsidP="00B50911">
      <w:pPr>
        <w:pStyle w:val="a9"/>
        <w:ind w:left="1225" w:hanging="397"/>
        <w:jc w:val="both"/>
        <w:rPr>
          <w:rFonts w:ascii="新細明體" w:eastAsia="新細明體" w:hAnsi="新細明體"/>
          <w:lang w:eastAsia="zh-TW"/>
        </w:rPr>
      </w:pPr>
      <w:r>
        <w:rPr>
          <w:rFonts w:ascii="新細明體" w:eastAsia="新細明體" w:hAnsi="新細明體" w:hint="eastAsia"/>
          <w:lang w:eastAsia="zh-TW"/>
        </w:rPr>
        <w:t>１、</w:t>
      </w:r>
      <w:r w:rsidR="00EB678C">
        <w:rPr>
          <w:rFonts w:ascii="新細明體" w:eastAsia="新細明體" w:hAnsi="新細明體"/>
          <w:lang w:eastAsia="zh-TW"/>
        </w:rPr>
        <w:t>公共工程各標案應先力求土石方之自我平衡，復就不足部分檢討同一計畫內標案間土石方之相互平衡；如經客觀檢討仍無法達成平衡，則應掌握其他公共工程（含尚未施工之公共工程）之土石方供需資訊，以規劃可行之棄土、借土專區。</w:t>
      </w:r>
    </w:p>
    <w:p w14:paraId="0640C542" w14:textId="3A033884" w:rsidR="00EB678C" w:rsidRDefault="00B50911" w:rsidP="00B50911">
      <w:pPr>
        <w:pStyle w:val="a9"/>
        <w:ind w:left="1225" w:hanging="397"/>
        <w:jc w:val="both"/>
        <w:rPr>
          <w:rFonts w:ascii="新細明體" w:eastAsia="新細明體" w:hAnsi="新細明體"/>
          <w:lang w:eastAsia="zh-TW"/>
        </w:rPr>
      </w:pPr>
      <w:r>
        <w:rPr>
          <w:rFonts w:ascii="新細明體" w:eastAsia="新細明體" w:hAnsi="新細明體" w:hint="eastAsia"/>
          <w:lang w:eastAsia="zh-TW"/>
        </w:rPr>
        <w:t>２、</w:t>
      </w:r>
      <w:r w:rsidR="00EB678C">
        <w:rPr>
          <w:rFonts w:ascii="新細明體" w:eastAsia="新細明體" w:hAnsi="新細明體"/>
          <w:lang w:eastAsia="zh-TW"/>
        </w:rPr>
        <w:t>請依本會95年5月9日工程管字第09500171110號函（如附件）於審議通過後，依「公共工程及公有建築工程營建剩餘土石方交換利用作業要點」上網申報土石方交換資訊。</w:t>
      </w:r>
    </w:p>
    <w:p w14:paraId="00650EB3"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（二）施工階段：</w:t>
      </w:r>
    </w:p>
    <w:p w14:paraId="312AE844" w14:textId="67DDAC7D" w:rsidR="00EB678C" w:rsidRDefault="00B50911" w:rsidP="00B50911">
      <w:pPr>
        <w:pStyle w:val="a9"/>
        <w:ind w:left="1225" w:hanging="397"/>
        <w:jc w:val="both"/>
        <w:rPr>
          <w:rFonts w:ascii="新細明體" w:eastAsia="新細明體" w:hAnsi="新細明體"/>
          <w:lang w:eastAsia="zh-TW"/>
        </w:rPr>
      </w:pPr>
      <w:r>
        <w:rPr>
          <w:rFonts w:ascii="新細明體" w:eastAsia="新細明體" w:hAnsi="新細明體" w:hint="eastAsia"/>
          <w:lang w:eastAsia="zh-TW"/>
        </w:rPr>
        <w:t>１、</w:t>
      </w:r>
      <w:r w:rsidR="00EB678C">
        <w:rPr>
          <w:rFonts w:ascii="新細明體" w:eastAsia="新細明體" w:hAnsi="新細明體"/>
          <w:lang w:eastAsia="zh-TW"/>
        </w:rPr>
        <w:t>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p>
    <w:p w14:paraId="108B5F76" w14:textId="528B04FC" w:rsidR="00EB678C" w:rsidRPr="00B50911" w:rsidRDefault="00B50911" w:rsidP="00B50911">
      <w:pPr>
        <w:pStyle w:val="a9"/>
        <w:ind w:left="1225" w:hanging="397"/>
        <w:jc w:val="both"/>
        <w:rPr>
          <w:rFonts w:ascii="新細明體" w:eastAsia="新細明體" w:hAnsi="新細明體"/>
          <w:lang w:eastAsia="zh-TW"/>
        </w:rPr>
      </w:pPr>
      <w:r>
        <w:rPr>
          <w:rFonts w:ascii="新細明體" w:eastAsia="新細明體" w:hAnsi="新細明體" w:hint="eastAsia"/>
          <w:lang w:eastAsia="zh-TW"/>
        </w:rPr>
        <w:t>２、</w:t>
      </w:r>
      <w:r w:rsidR="00EB678C">
        <w:rPr>
          <w:rFonts w:ascii="新細明體" w:eastAsia="新細明體" w:hAnsi="新細明體"/>
          <w:lang w:eastAsia="zh-TW"/>
        </w:rPr>
        <w:t>經內政部營建署政策評估結果認定可減省政府整體支出經費、促進營建資源有效利用、不增加對交通環境影響者，本會同意認定符合政府採購法第64條規定之「公共利益」原則，被協調機關得據以報經上級機關核准後終止與剩餘土石方處理、清運有關之部分契約。</w:t>
      </w:r>
    </w:p>
    <w:p w14:paraId="3A90573A"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二、砂石料源部分：</w:t>
      </w:r>
    </w:p>
    <w:p w14:paraId="15C6D315"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（一）公共工程內容如含混凝土或路基工項，應透過結構尺寸輕量化之最適設計或儘量採用綠建築或生態工程之觀念，以減少砂石之用量。</w:t>
      </w:r>
    </w:p>
    <w:p w14:paraId="1BF685F2" w14:textId="77777777"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（二）規劃階段應配合砂石供應情形，自行規劃開發砂石料源；砂石用量較大之公共工程主辦單位，並應規劃設置砂石料源供應專區。</w:t>
      </w:r>
    </w:p>
    <w:p w14:paraId="4DD9E9EA" w14:textId="079C8DBF" w:rsidR="00EB678C" w:rsidRP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lang w:eastAsia="zh-TW"/>
        </w:rPr>
        <w:t>（三）新興公共工程計畫砂石用料超過50萬立方公尺，需報行政院核定者，依行政院92年2月11日准予修正核定之「遏止砂石盜濫採行為改進方案」，在先期規劃或可行性檢討時，應含土石料源規劃。</w:t>
      </w:r>
    </w:p>
    <w:p w14:paraId="1FAA8E05" w14:textId="77777777" w:rsidR="00EB678C" w:rsidRDefault="00EB678C" w:rsidP="00EB678C">
      <w:pPr>
        <w:rPr>
          <w:lang w:eastAsia="zh-TW"/>
        </w:rPr>
      </w:pPr>
    </w:p>
    <w:p w14:paraId="6D170E3C" w14:textId="77777777" w:rsidR="00EB678C" w:rsidRDefault="00EB678C" w:rsidP="00EB678C">
      <w:pPr>
        <w:pStyle w:val="a9"/>
        <w:ind w:hanging="720"/>
        <w:jc w:val="both"/>
        <w:rPr>
          <w:lang w:eastAsia="zh-TW"/>
        </w:rPr>
      </w:pPr>
      <w:r>
        <w:rPr>
          <w:rFonts w:ascii="微軟正黑體" w:eastAsia="微軟正黑體" w:hAnsi="微軟正黑體"/>
          <w:b/>
          <w:lang w:eastAsia="zh-TW"/>
        </w:rPr>
        <w:t>行政院公共工程委員會108年02月25日工程技字第1080002605號函</w:t>
      </w:r>
    </w:p>
    <w:p w14:paraId="288A0B62" w14:textId="77777777" w:rsidR="00EB678C" w:rsidRDefault="00EB678C" w:rsidP="00EB678C">
      <w:pPr>
        <w:pStyle w:val="a9"/>
        <w:ind w:hanging="720"/>
        <w:jc w:val="both"/>
        <w:rPr>
          <w:lang w:eastAsia="zh-TW"/>
        </w:rPr>
      </w:pPr>
      <w:r>
        <w:rPr>
          <w:rFonts w:ascii="新細明體" w:eastAsia="新細明體" w:hAnsi="新細明體"/>
          <w:lang w:eastAsia="zh-TW"/>
        </w:rPr>
        <w:t>主旨：為促進公共工程營建剩餘土石方資源有效利用，重申詳如說明，請查照辦理並轉知所屬(轄)機關。</w:t>
      </w:r>
    </w:p>
    <w:p w14:paraId="52E3848B" w14:textId="77777777" w:rsidR="00EB678C" w:rsidRDefault="00EB678C" w:rsidP="00EB678C">
      <w:pPr>
        <w:pStyle w:val="a9"/>
        <w:ind w:hanging="720"/>
        <w:jc w:val="both"/>
        <w:rPr>
          <w:lang w:eastAsia="zh-TW"/>
        </w:rPr>
      </w:pPr>
      <w:r>
        <w:rPr>
          <w:rFonts w:ascii="新細明體" w:eastAsia="新細明體" w:hAnsi="新細明體"/>
          <w:lang w:eastAsia="zh-TW"/>
        </w:rPr>
        <w:t>說明：</w:t>
      </w:r>
    </w:p>
    <w:p w14:paraId="01379849" w14:textId="76AF6FEE" w:rsidR="00EB678C" w:rsidRDefault="00EB678C" w:rsidP="00EB678C">
      <w:pPr>
        <w:pStyle w:val="a9"/>
        <w:ind w:hanging="480"/>
        <w:jc w:val="both"/>
        <w:rPr>
          <w:lang w:eastAsia="zh-TW"/>
        </w:rPr>
      </w:pPr>
      <w:r>
        <w:rPr>
          <w:rFonts w:ascii="新細明體" w:eastAsia="新細明體" w:hAnsi="新細明體"/>
          <w:lang w:eastAsia="zh-TW"/>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14:paraId="3A511979" w14:textId="77777777" w:rsidR="00EB678C" w:rsidRDefault="00EB678C" w:rsidP="00EB678C">
      <w:pPr>
        <w:pStyle w:val="a9"/>
        <w:ind w:hanging="480"/>
        <w:jc w:val="both"/>
        <w:rPr>
          <w:rFonts w:ascii="新細明體" w:eastAsia="新細明體" w:hAnsi="新細明體"/>
          <w:lang w:eastAsia="zh-TW"/>
        </w:rPr>
      </w:pPr>
      <w:r>
        <w:rPr>
          <w:rFonts w:ascii="新細明體" w:eastAsia="新細明體" w:hAnsi="新細明體"/>
          <w:lang w:eastAsia="zh-TW"/>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14:paraId="5FD5C803" w14:textId="0381DBB2" w:rsidR="00EB678C" w:rsidRDefault="00EB678C" w:rsidP="00EB678C">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Pr>
          <w:rFonts w:ascii="新細明體" w:eastAsia="新細明體" w:hAnsi="新細明體"/>
          <w:lang w:eastAsia="zh-TW"/>
        </w:rPr>
        <w:t>一</w:t>
      </w:r>
      <w:r>
        <w:rPr>
          <w:rFonts w:ascii="新細明體" w:eastAsia="新細明體" w:hAnsi="新細明體" w:hint="eastAsia"/>
          <w:lang w:eastAsia="zh-TW"/>
        </w:rPr>
        <w:t>）</w:t>
      </w:r>
      <w:r>
        <w:rPr>
          <w:rFonts w:ascii="新細明體" w:eastAsia="新細明體" w:hAnsi="新細明體"/>
          <w:lang w:eastAsia="zh-TW"/>
        </w:rPr>
        <w:t>規劃設計階段：</w:t>
      </w:r>
    </w:p>
    <w:p w14:paraId="3508720A"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１、公共工程各標應優先力求土石方之自我平衡，其次為機關內部工程自行平衡土方交換或跨機關鄰近工程土方交換，最後才交由土資場處理。</w:t>
      </w:r>
    </w:p>
    <w:p w14:paraId="7A321A59"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２、依規劃之土方處理方式編列相關經費支出。</w:t>
      </w:r>
    </w:p>
    <w:p w14:paraId="2ED9FA25"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14:paraId="65A7376B"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14:paraId="0B735CA7" w14:textId="628318ED" w:rsidR="00EB678C" w:rsidRDefault="00CF136E" w:rsidP="00CF136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00EB678C">
        <w:rPr>
          <w:rFonts w:ascii="新細明體" w:eastAsia="新細明體" w:hAnsi="新細明體"/>
          <w:lang w:eastAsia="zh-TW"/>
        </w:rPr>
        <w:t>二</w:t>
      </w:r>
      <w:r>
        <w:rPr>
          <w:rFonts w:ascii="新細明體" w:eastAsia="新細明體" w:hAnsi="新細明體" w:hint="eastAsia"/>
          <w:lang w:eastAsia="zh-TW"/>
        </w:rPr>
        <w:t>）</w:t>
      </w:r>
      <w:r w:rsidR="00EB678C">
        <w:rPr>
          <w:rFonts w:ascii="新細明體" w:eastAsia="新細明體" w:hAnsi="新細明體"/>
          <w:lang w:eastAsia="zh-TW"/>
        </w:rPr>
        <w:t>施工階段：</w:t>
      </w:r>
    </w:p>
    <w:p w14:paraId="610CC6A4"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１、如經妥善規劃仍無法達成平衡，施工期間應依內政部營建署公共工程土石方交換機制作業，積極尋求與其他公共工程交換之機會，並請內政部營建署主動積極協調媒合。</w:t>
      </w:r>
    </w:p>
    <w:p w14:paraId="65183B80"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２、土石方規劃設計內容載明於工程契約，避免於設計圖說僅要求施工廠商依照規定處理之簡略文字。</w:t>
      </w:r>
    </w:p>
    <w:p w14:paraId="03CC24E1" w14:textId="77777777" w:rsidR="00EB678C" w:rsidRDefault="00EB678C" w:rsidP="00CF136E">
      <w:pPr>
        <w:pStyle w:val="a9"/>
        <w:ind w:left="1225" w:hanging="397"/>
        <w:jc w:val="both"/>
        <w:rPr>
          <w:rFonts w:ascii="新細明體" w:eastAsia="新細明體" w:hAnsi="新細明體"/>
          <w:lang w:eastAsia="zh-TW"/>
        </w:rPr>
      </w:pPr>
      <w:r>
        <w:rPr>
          <w:rFonts w:ascii="新細明體" w:eastAsia="新細明體" w:hAnsi="新細明體"/>
          <w:lang w:eastAsia="zh-TW"/>
        </w:rPr>
        <w:t>３、主辦機關訂定工程契約，需於契約中載明營建剩餘土石方處理方式，重點如下：</w:t>
      </w:r>
    </w:p>
    <w:p w14:paraId="6C6B35C1" w14:textId="42B692D0" w:rsidR="00EB678C" w:rsidRDefault="00B45065" w:rsidP="00B45065">
      <w:pPr>
        <w:pStyle w:val="a9"/>
        <w:ind w:left="1757" w:hanging="680"/>
        <w:jc w:val="both"/>
        <w:rPr>
          <w:rFonts w:ascii="新細明體" w:eastAsia="新細明體" w:hAnsi="新細明體"/>
          <w:lang w:eastAsia="zh-TW"/>
        </w:rPr>
      </w:pPr>
      <w:r>
        <w:rPr>
          <w:rFonts w:ascii="新細明體" w:eastAsia="新細明體" w:hAnsi="新細明體" w:hint="eastAsia"/>
          <w:lang w:eastAsia="zh-TW"/>
        </w:rPr>
        <w:t>（</w:t>
      </w:r>
      <w:r w:rsidR="00EB678C">
        <w:rPr>
          <w:rFonts w:ascii="新細明體" w:eastAsia="新細明體" w:hAnsi="新細明體"/>
          <w:lang w:eastAsia="zh-TW"/>
        </w:rPr>
        <w:t>１</w:t>
      </w:r>
      <w:r>
        <w:rPr>
          <w:rFonts w:ascii="新細明體" w:eastAsia="新細明體" w:hAnsi="新細明體" w:hint="eastAsia"/>
          <w:lang w:eastAsia="zh-TW"/>
        </w:rPr>
        <w:t>）</w:t>
      </w:r>
      <w:r w:rsidR="00EB678C">
        <w:rPr>
          <w:rFonts w:ascii="新細明體" w:eastAsia="新細明體" w:hAnsi="新細明體"/>
          <w:lang w:eastAsia="zh-TW"/>
        </w:rPr>
        <w:t>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14:paraId="4CD9E356" w14:textId="083D7CE4" w:rsidR="00EB678C" w:rsidRPr="00CF136E" w:rsidRDefault="00B45065" w:rsidP="00B45065">
      <w:pPr>
        <w:pStyle w:val="a9"/>
        <w:ind w:left="1757" w:hanging="680"/>
        <w:jc w:val="both"/>
        <w:rPr>
          <w:rFonts w:ascii="新細明體" w:eastAsia="新細明體" w:hAnsi="新細明體"/>
          <w:lang w:eastAsia="zh-TW"/>
        </w:rPr>
      </w:pPr>
      <w:r>
        <w:rPr>
          <w:rFonts w:ascii="新細明體" w:eastAsia="新細明體" w:hAnsi="新細明體" w:hint="eastAsia"/>
          <w:lang w:eastAsia="zh-TW"/>
        </w:rPr>
        <w:t>（</w:t>
      </w:r>
      <w:r w:rsidR="00EB678C">
        <w:rPr>
          <w:rFonts w:ascii="新細明體" w:eastAsia="新細明體" w:hAnsi="新細明體"/>
          <w:lang w:eastAsia="zh-TW"/>
        </w:rPr>
        <w:t>２</w:t>
      </w:r>
      <w:r>
        <w:rPr>
          <w:rFonts w:ascii="新細明體" w:eastAsia="新細明體" w:hAnsi="新細明體" w:hint="eastAsia"/>
          <w:lang w:eastAsia="zh-TW"/>
        </w:rPr>
        <w:t>）</w:t>
      </w:r>
      <w:r w:rsidR="00EB678C">
        <w:rPr>
          <w:rFonts w:ascii="新細明體" w:eastAsia="新細明體" w:hAnsi="新細明體"/>
          <w:lang w:eastAsia="zh-TW"/>
        </w:rPr>
        <w:t>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14:paraId="5DF34AA2" w14:textId="77777777" w:rsidR="00EB678C" w:rsidRDefault="00EB678C" w:rsidP="00EB678C">
      <w:pPr>
        <w:pStyle w:val="a9"/>
        <w:ind w:hanging="480"/>
        <w:jc w:val="both"/>
        <w:rPr>
          <w:lang w:eastAsia="zh-TW"/>
        </w:rPr>
      </w:pPr>
      <w:r>
        <w:rPr>
          <w:rFonts w:ascii="新細明體" w:eastAsia="新細明體" w:hAnsi="新細明體"/>
          <w:lang w:eastAsia="zh-TW"/>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14:paraId="3BEF8AC1" w14:textId="77777777" w:rsidR="00EB678C" w:rsidRPr="00EB678C" w:rsidRDefault="00EB678C" w:rsidP="00EB678C">
      <w:pPr>
        <w:rPr>
          <w:lang w:eastAsia="zh-TW"/>
        </w:rPr>
      </w:pP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