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DEA60">
      <w:pPr>
        <w:spacing w:before="480" w:after="480" w:line="288" w:lineRule="auto"/>
        <w:ind w:left="0"/>
      </w:pPr>
      <w:bookmarkStart w:id="6" w:name="_GoBack"/>
      <w:r>
        <w:rPr>
          <w:rFonts w:ascii="Arial" w:hAnsi="Arial" w:eastAsia="等线" w:cs="Arial"/>
          <w:b/>
          <w:sz w:val="52"/>
        </w:rPr>
        <w:t>银联VCC虚拟卡产品立项说明书</w:t>
      </w:r>
      <w:bookmarkEnd w:id="6"/>
    </w:p>
    <w:p w14:paraId="5952FF54">
      <w:pPr>
        <w:spacing w:before="380" w:after="140" w:line="288" w:lineRule="auto"/>
        <w:ind w:left="0"/>
        <w:jc w:val="left"/>
        <w:outlineLvl w:val="0"/>
      </w:pPr>
      <w:bookmarkStart w:id="0" w:name="heading_0"/>
      <w:r>
        <w:rPr>
          <w:rFonts w:ascii="Arial" w:hAnsi="Arial" w:eastAsia="等线" w:cs="Arial"/>
          <w:b/>
          <w:sz w:val="36"/>
        </w:rPr>
        <w:t>背景</w:t>
      </w:r>
      <w:bookmarkEnd w:id="0"/>
    </w:p>
    <w:p w14:paraId="1844A0F5">
      <w:pPr>
        <w:spacing w:before="120" w:after="120" w:line="288" w:lineRule="auto"/>
        <w:ind w:left="0" w:firstLine="420"/>
        <w:jc w:val="left"/>
      </w:pPr>
      <w:r>
        <w:rPr>
          <w:rFonts w:ascii="Arial" w:hAnsi="Arial" w:eastAsia="等线" w:cs="Arial"/>
          <w:sz w:val="22"/>
        </w:rPr>
        <w:t>银联VCC是银联为满足企业日常运营及生产经营过程中高频、小额因公支付需求，联合企业对公账户银行，利用标记化服务能力，复用银联受理网络，提供的线上化、移动化的便捷支付解决方案。可提升企业因公支付效率，缓解预付场景的垫资压力，加强因公支出资金管控能力。</w:t>
      </w:r>
    </w:p>
    <w:p w14:paraId="2A167565">
      <w:pPr>
        <w:spacing w:before="120" w:after="120" w:line="288" w:lineRule="auto"/>
        <w:ind w:left="0" w:firstLine="420"/>
        <w:jc w:val="left"/>
      </w:pPr>
      <w:r>
        <w:rPr>
          <w:rFonts w:ascii="Arial" w:hAnsi="Arial" w:eastAsia="等线" w:cs="Arial"/>
          <w:sz w:val="22"/>
        </w:rPr>
        <w:t>基于银联VCC产品能力，天逸集团为企业客户提供基于融资业务背景下的VCC产品。</w:t>
      </w:r>
    </w:p>
    <w:p w14:paraId="6A7C3F25">
      <w:pPr>
        <w:spacing w:before="120" w:after="120" w:line="288" w:lineRule="auto"/>
        <w:ind w:left="0" w:firstLine="420"/>
        <w:jc w:val="left"/>
      </w:pPr>
      <w:r>
        <w:rPr>
          <w:rFonts w:ascii="Arial" w:hAnsi="Arial" w:eastAsia="等线" w:cs="Arial"/>
          <w:sz w:val="22"/>
        </w:rPr>
        <w:t>通过额度管理、动态发码、扫码支付闭环服务，覆盖多行业场景支付，实现资金定向使用、支付便捷高效、交易全程可追踪，在服务客户的同时提升业务规模。</w:t>
      </w:r>
    </w:p>
    <w:p w14:paraId="6C6B4A63">
      <w:pPr>
        <w:spacing w:before="120" w:after="120" w:line="288" w:lineRule="auto"/>
        <w:ind w:left="0"/>
        <w:jc w:val="left"/>
      </w:pPr>
    </w:p>
    <w:p w14:paraId="46FC7EDA">
      <w:pPr>
        <w:spacing w:before="380" w:after="140" w:line="288" w:lineRule="auto"/>
        <w:ind w:left="0"/>
        <w:jc w:val="left"/>
        <w:outlineLvl w:val="0"/>
      </w:pPr>
      <w:bookmarkStart w:id="1" w:name="heading_1"/>
      <w:r>
        <w:rPr>
          <w:rFonts w:ascii="Arial" w:hAnsi="Arial" w:eastAsia="等线" w:cs="Arial"/>
          <w:b/>
          <w:sz w:val="36"/>
        </w:rPr>
        <w:t>客户使用流程</w:t>
      </w:r>
      <w:bookmarkEnd w:id="1"/>
    </w:p>
    <w:p w14:paraId="4E003265">
      <w:pPr>
        <w:spacing w:before="120" w:after="120" w:line="288" w:lineRule="auto"/>
        <w:ind w:left="0"/>
        <w:jc w:val="center"/>
      </w:pPr>
      <w:r>
        <w:drawing>
          <wp:inline distT="0" distB="0" distL="0" distR="0">
            <wp:extent cx="5257800" cy="10668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1066800"/>
                    </a:xfrm>
                    <a:prstGeom prst="rect">
                      <a:avLst/>
                    </a:prstGeom>
                  </pic:spPr>
                </pic:pic>
              </a:graphicData>
            </a:graphic>
          </wp:inline>
        </w:drawing>
      </w:r>
    </w:p>
    <w:p w14:paraId="2F8EBE97">
      <w:pPr>
        <w:numPr>
          <w:ilvl w:val="0"/>
          <w:numId w:val="1"/>
        </w:numPr>
        <w:spacing w:before="120" w:after="120" w:line="288" w:lineRule="auto"/>
        <w:ind w:left="0"/>
        <w:jc w:val="left"/>
      </w:pPr>
      <w:r>
        <w:rPr>
          <w:rFonts w:ascii="Arial" w:hAnsi="Arial" w:eastAsia="等线" w:cs="Arial"/>
          <w:b/>
          <w:sz w:val="22"/>
        </w:rPr>
        <w:t>客户建档：</w:t>
      </w:r>
      <w:r>
        <w:rPr>
          <w:rFonts w:ascii="Arial" w:hAnsi="Arial" w:eastAsia="等线" w:cs="Arial"/>
          <w:sz w:val="22"/>
        </w:rPr>
        <w:t>客户为使用集团融资服务，同时有意向使用银联VCC产品的企业</w:t>
      </w:r>
    </w:p>
    <w:p w14:paraId="6C8031A4">
      <w:pPr>
        <w:numPr>
          <w:ilvl w:val="0"/>
          <w:numId w:val="2"/>
        </w:numPr>
        <w:spacing w:before="120" w:after="120" w:line="288" w:lineRule="auto"/>
        <w:ind w:left="0"/>
        <w:jc w:val="left"/>
      </w:pPr>
      <w:r>
        <w:rPr>
          <w:rFonts w:ascii="Arial" w:hAnsi="Arial" w:eastAsia="等线" w:cs="Arial"/>
          <w:b/>
          <w:sz w:val="22"/>
        </w:rPr>
        <w:t>融资额度申请：</w:t>
      </w:r>
      <w:r>
        <w:rPr>
          <w:rFonts w:ascii="Arial" w:hAnsi="Arial" w:eastAsia="等线" w:cs="Arial"/>
          <w:sz w:val="22"/>
        </w:rPr>
        <w:t>客户申请融资额度</w:t>
      </w:r>
    </w:p>
    <w:p w14:paraId="5551ACF7">
      <w:pPr>
        <w:numPr>
          <w:ilvl w:val="0"/>
          <w:numId w:val="3"/>
        </w:numPr>
        <w:spacing w:before="120" w:after="120" w:line="288" w:lineRule="auto"/>
        <w:ind w:left="0"/>
        <w:jc w:val="left"/>
      </w:pPr>
      <w:r>
        <w:rPr>
          <w:rFonts w:ascii="Arial" w:hAnsi="Arial" w:eastAsia="等线" w:cs="Arial"/>
          <w:b/>
          <w:sz w:val="22"/>
        </w:rPr>
        <w:t>额度发放：</w:t>
      </w:r>
      <w:r>
        <w:rPr>
          <w:rFonts w:ascii="Arial" w:hAnsi="Arial" w:eastAsia="等线" w:cs="Arial"/>
          <w:sz w:val="22"/>
        </w:rPr>
        <w:t>OP审批发放额度</w:t>
      </w:r>
    </w:p>
    <w:p w14:paraId="52E6F578">
      <w:pPr>
        <w:numPr>
          <w:ilvl w:val="0"/>
          <w:numId w:val="4"/>
        </w:numPr>
        <w:spacing w:before="120" w:after="120" w:line="288" w:lineRule="auto"/>
        <w:ind w:left="0"/>
        <w:jc w:val="left"/>
      </w:pPr>
      <w:r>
        <w:rPr>
          <w:rFonts w:ascii="Arial" w:hAnsi="Arial" w:eastAsia="等线" w:cs="Arial"/>
          <w:b/>
          <w:sz w:val="22"/>
        </w:rPr>
        <w:t>申卡：</w:t>
      </w:r>
      <w:r>
        <w:rPr>
          <w:rFonts w:ascii="Arial" w:hAnsi="Arial" w:eastAsia="等线" w:cs="Arial"/>
          <w:sz w:val="22"/>
        </w:rPr>
        <w:t>基于业务场景为用卡人申请卡片、分配额度并设定使用场景</w:t>
      </w:r>
    </w:p>
    <w:p w14:paraId="028195B2">
      <w:pPr>
        <w:numPr>
          <w:ilvl w:val="0"/>
          <w:numId w:val="5"/>
        </w:numPr>
        <w:spacing w:before="120" w:after="120" w:line="288" w:lineRule="auto"/>
        <w:ind w:left="0"/>
        <w:jc w:val="left"/>
      </w:pPr>
      <w:r>
        <w:rPr>
          <w:rFonts w:ascii="Arial" w:hAnsi="Arial" w:eastAsia="等线" w:cs="Arial"/>
          <w:b/>
          <w:sz w:val="22"/>
        </w:rPr>
        <w:t>用卡：</w:t>
      </w:r>
      <w:r>
        <w:rPr>
          <w:rFonts w:ascii="Arial" w:hAnsi="Arial" w:eastAsia="等线" w:cs="Arial"/>
          <w:sz w:val="22"/>
        </w:rPr>
        <w:t>虚拟卡用卡人在符合用卡要求的商家用卡</w:t>
      </w:r>
    </w:p>
    <w:p w14:paraId="5ED5C955">
      <w:pPr>
        <w:spacing w:before="120" w:after="120" w:line="288" w:lineRule="auto"/>
        <w:ind w:left="0"/>
        <w:jc w:val="left"/>
      </w:pPr>
    </w:p>
    <w:p w14:paraId="491E590E">
      <w:pPr>
        <w:spacing w:before="380" w:after="140" w:line="288" w:lineRule="auto"/>
        <w:ind w:left="0"/>
        <w:jc w:val="left"/>
        <w:outlineLvl w:val="0"/>
      </w:pPr>
      <w:bookmarkStart w:id="2" w:name="heading_2"/>
      <w:r>
        <w:rPr>
          <w:rFonts w:ascii="Arial" w:hAnsi="Arial" w:eastAsia="等线" w:cs="Arial"/>
          <w:b/>
          <w:sz w:val="36"/>
        </w:rPr>
        <w:t>核心用例</w:t>
      </w:r>
      <w:bookmarkEnd w:id="2"/>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7245"/>
      </w:tblGrid>
      <w:tr w14:paraId="148FBC0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B74E69A">
            <w:pPr>
              <w:spacing w:before="120" w:after="120" w:line="288" w:lineRule="auto"/>
              <w:ind w:left="0"/>
              <w:jc w:val="left"/>
            </w:pPr>
            <w:r>
              <w:rPr>
                <w:rFonts w:ascii="Arial" w:hAnsi="Arial" w:eastAsia="等线" w:cs="Arial"/>
                <w:b/>
                <w:sz w:val="22"/>
              </w:rPr>
              <w:t>用例1</w:t>
            </w:r>
          </w:p>
        </w:tc>
        <w:tc>
          <w:tcPr>
            <w:tcW w:w="7245" w:type="dxa"/>
            <w:tcMar>
              <w:top w:w="60" w:type="dxa"/>
              <w:left w:w="120" w:type="dxa"/>
              <w:bottom w:w="30" w:type="dxa"/>
              <w:right w:w="120" w:type="dxa"/>
            </w:tcMar>
          </w:tcPr>
          <w:p w14:paraId="465378FB">
            <w:pPr>
              <w:spacing w:before="120" w:after="120" w:line="288" w:lineRule="auto"/>
              <w:ind w:left="0"/>
              <w:jc w:val="left"/>
            </w:pPr>
            <w:r>
              <w:rPr>
                <w:rFonts w:ascii="Arial" w:hAnsi="Arial" w:eastAsia="等线" w:cs="Arial"/>
                <w:b/>
                <w:sz w:val="22"/>
              </w:rPr>
              <w:t>融资与VCC业务开通</w:t>
            </w:r>
          </w:p>
        </w:tc>
      </w:tr>
      <w:tr w14:paraId="0DA965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6877B35">
            <w:pPr>
              <w:spacing w:before="120" w:after="120" w:line="288" w:lineRule="auto"/>
              <w:ind w:left="0"/>
              <w:jc w:val="left"/>
            </w:pPr>
            <w:r>
              <w:rPr>
                <w:rFonts w:ascii="Arial" w:hAnsi="Arial" w:eastAsia="等线" w:cs="Arial"/>
                <w:sz w:val="22"/>
              </w:rPr>
              <w:t>核心操作</w:t>
            </w:r>
          </w:p>
        </w:tc>
        <w:tc>
          <w:tcPr>
            <w:tcW w:w="7245" w:type="dxa"/>
            <w:tcMar>
              <w:top w:w="60" w:type="dxa"/>
              <w:left w:w="120" w:type="dxa"/>
              <w:bottom w:w="30" w:type="dxa"/>
              <w:right w:w="120" w:type="dxa"/>
            </w:tcMar>
          </w:tcPr>
          <w:p w14:paraId="6CB31398">
            <w:pPr>
              <w:spacing w:before="120" w:after="120" w:line="288" w:lineRule="auto"/>
              <w:ind w:left="0"/>
              <w:jc w:val="left"/>
            </w:pPr>
            <w:r>
              <w:rPr>
                <w:rFonts w:ascii="Arial" w:hAnsi="Arial" w:eastAsia="等线" w:cs="Arial"/>
                <w:sz w:val="22"/>
              </w:rPr>
              <w:t>客户申请融资服务，开通VCC产品</w:t>
            </w:r>
          </w:p>
        </w:tc>
      </w:tr>
      <w:tr w14:paraId="0CDCE9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608D6C0">
            <w:pPr>
              <w:spacing w:before="120" w:after="120" w:line="288" w:lineRule="auto"/>
              <w:ind w:left="0"/>
              <w:jc w:val="left"/>
            </w:pPr>
            <w:r>
              <w:rPr>
                <w:rFonts w:ascii="Arial" w:hAnsi="Arial" w:eastAsia="等线" w:cs="Arial"/>
                <w:sz w:val="22"/>
              </w:rPr>
              <w:t>潜在功能</w:t>
            </w:r>
          </w:p>
        </w:tc>
        <w:tc>
          <w:tcPr>
            <w:tcW w:w="7245" w:type="dxa"/>
            <w:tcMar>
              <w:top w:w="60" w:type="dxa"/>
              <w:left w:w="120" w:type="dxa"/>
              <w:bottom w:w="30" w:type="dxa"/>
              <w:right w:w="120" w:type="dxa"/>
            </w:tcMar>
          </w:tcPr>
          <w:p w14:paraId="21E28492">
            <w:pPr>
              <w:spacing w:before="120" w:after="120" w:line="288" w:lineRule="auto"/>
              <w:ind w:left="0"/>
              <w:jc w:val="left"/>
            </w:pPr>
            <w:r>
              <w:rPr>
                <w:rFonts w:ascii="Arial" w:hAnsi="Arial" w:eastAsia="等线" w:cs="Arial"/>
                <w:sz w:val="22"/>
              </w:rPr>
              <w:t>融逸金链进行VCC额度管理</w:t>
            </w:r>
          </w:p>
        </w:tc>
      </w:tr>
    </w:tbl>
    <w:p w14:paraId="42D5B7F4"/>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7245"/>
      </w:tblGrid>
      <w:tr w14:paraId="4EE4EB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58564D8">
            <w:pPr>
              <w:spacing w:before="120" w:after="120" w:line="288" w:lineRule="auto"/>
              <w:ind w:left="0"/>
              <w:jc w:val="left"/>
            </w:pPr>
            <w:r>
              <w:rPr>
                <w:rFonts w:ascii="Arial" w:hAnsi="Arial" w:eastAsia="等线" w:cs="Arial"/>
                <w:b/>
                <w:sz w:val="22"/>
              </w:rPr>
              <w:t>用例2</w:t>
            </w:r>
          </w:p>
        </w:tc>
        <w:tc>
          <w:tcPr>
            <w:tcW w:w="7245" w:type="dxa"/>
            <w:tcMar>
              <w:top w:w="60" w:type="dxa"/>
              <w:left w:w="120" w:type="dxa"/>
              <w:bottom w:w="30" w:type="dxa"/>
              <w:right w:w="120" w:type="dxa"/>
            </w:tcMar>
          </w:tcPr>
          <w:p w14:paraId="2543649C">
            <w:pPr>
              <w:spacing w:before="120" w:after="120" w:line="288" w:lineRule="auto"/>
              <w:ind w:left="0"/>
              <w:jc w:val="left"/>
            </w:pPr>
            <w:r>
              <w:rPr>
                <w:rFonts w:ascii="Arial" w:hAnsi="Arial" w:eastAsia="等线" w:cs="Arial"/>
                <w:b/>
                <w:sz w:val="22"/>
              </w:rPr>
              <w:t>申卡</w:t>
            </w:r>
          </w:p>
        </w:tc>
      </w:tr>
      <w:tr w14:paraId="3EC0D6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1CFC938">
            <w:pPr>
              <w:spacing w:before="120" w:after="120" w:line="288" w:lineRule="auto"/>
              <w:ind w:left="0"/>
              <w:jc w:val="left"/>
            </w:pPr>
            <w:r>
              <w:rPr>
                <w:rFonts w:ascii="Arial" w:hAnsi="Arial" w:eastAsia="等线" w:cs="Arial"/>
                <w:sz w:val="22"/>
              </w:rPr>
              <w:t>核心操作</w:t>
            </w:r>
          </w:p>
        </w:tc>
        <w:tc>
          <w:tcPr>
            <w:tcW w:w="7245" w:type="dxa"/>
            <w:tcMar>
              <w:top w:w="60" w:type="dxa"/>
              <w:left w:w="120" w:type="dxa"/>
              <w:bottom w:w="30" w:type="dxa"/>
              <w:right w:w="120" w:type="dxa"/>
            </w:tcMar>
          </w:tcPr>
          <w:p w14:paraId="1964ADAA">
            <w:pPr>
              <w:spacing w:before="120" w:after="120" w:line="288" w:lineRule="auto"/>
              <w:ind w:left="0"/>
              <w:jc w:val="left"/>
            </w:pPr>
            <w:r>
              <w:rPr>
                <w:rFonts w:ascii="Arial" w:hAnsi="Arial" w:eastAsia="等线" w:cs="Arial"/>
                <w:sz w:val="22"/>
              </w:rPr>
              <w:t>客户为用卡人申请VCC卡片，设定额度、使用场景等</w:t>
            </w:r>
          </w:p>
        </w:tc>
      </w:tr>
      <w:tr w14:paraId="3D7F53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4A179E5F">
            <w:pPr>
              <w:spacing w:before="120" w:after="120" w:line="288" w:lineRule="auto"/>
              <w:ind w:left="0"/>
              <w:jc w:val="left"/>
            </w:pPr>
            <w:r>
              <w:rPr>
                <w:rFonts w:ascii="Arial" w:hAnsi="Arial" w:eastAsia="等线" w:cs="Arial"/>
                <w:sz w:val="22"/>
              </w:rPr>
              <w:t>潜在功能</w:t>
            </w:r>
          </w:p>
        </w:tc>
        <w:tc>
          <w:tcPr>
            <w:tcW w:w="7245" w:type="dxa"/>
            <w:tcMar>
              <w:top w:w="60" w:type="dxa"/>
              <w:left w:w="120" w:type="dxa"/>
              <w:bottom w:w="30" w:type="dxa"/>
              <w:right w:w="120" w:type="dxa"/>
            </w:tcMar>
          </w:tcPr>
          <w:p w14:paraId="1F40545B">
            <w:pPr>
              <w:spacing w:before="120" w:after="120" w:line="288" w:lineRule="auto"/>
              <w:ind w:left="0"/>
              <w:jc w:val="left"/>
            </w:pPr>
            <w:r>
              <w:rPr>
                <w:rFonts w:ascii="Arial" w:hAnsi="Arial" w:eastAsia="等线" w:cs="Arial"/>
                <w:sz w:val="22"/>
              </w:rPr>
              <w:t>融逸金链调用金流平台进行申卡操作</w:t>
            </w:r>
          </w:p>
        </w:tc>
      </w:tr>
    </w:tbl>
    <w:p w14:paraId="1EEB1B42"/>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7245"/>
      </w:tblGrid>
      <w:tr w14:paraId="2FFF77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0F77CF0C">
            <w:pPr>
              <w:spacing w:before="120" w:after="120" w:line="288" w:lineRule="auto"/>
              <w:ind w:left="0"/>
              <w:jc w:val="left"/>
            </w:pPr>
            <w:r>
              <w:rPr>
                <w:rFonts w:ascii="Arial" w:hAnsi="Arial" w:eastAsia="等线" w:cs="Arial"/>
                <w:b/>
                <w:sz w:val="22"/>
              </w:rPr>
              <w:t>用例3</w:t>
            </w:r>
          </w:p>
        </w:tc>
        <w:tc>
          <w:tcPr>
            <w:tcW w:w="7245" w:type="dxa"/>
            <w:tcMar>
              <w:top w:w="60" w:type="dxa"/>
              <w:left w:w="120" w:type="dxa"/>
              <w:bottom w:w="30" w:type="dxa"/>
              <w:right w:w="120" w:type="dxa"/>
            </w:tcMar>
          </w:tcPr>
          <w:p w14:paraId="1116BA8B">
            <w:pPr>
              <w:spacing w:before="120" w:after="120" w:line="288" w:lineRule="auto"/>
              <w:ind w:left="0"/>
              <w:jc w:val="left"/>
            </w:pPr>
            <w:r>
              <w:rPr>
                <w:rFonts w:ascii="Arial" w:hAnsi="Arial" w:eastAsia="等线" w:cs="Arial"/>
                <w:b/>
                <w:sz w:val="22"/>
              </w:rPr>
              <w:t>用卡（展码支付）</w:t>
            </w:r>
          </w:p>
        </w:tc>
      </w:tr>
      <w:tr w14:paraId="1A6AC7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3CCA9F4">
            <w:pPr>
              <w:spacing w:before="120" w:after="120" w:line="288" w:lineRule="auto"/>
              <w:ind w:left="0"/>
              <w:jc w:val="left"/>
            </w:pPr>
            <w:r>
              <w:rPr>
                <w:rFonts w:ascii="Arial" w:hAnsi="Arial" w:eastAsia="等线" w:cs="Arial"/>
                <w:sz w:val="22"/>
              </w:rPr>
              <w:t>核心操作</w:t>
            </w:r>
          </w:p>
        </w:tc>
        <w:tc>
          <w:tcPr>
            <w:tcW w:w="7245" w:type="dxa"/>
            <w:tcMar>
              <w:top w:w="60" w:type="dxa"/>
              <w:left w:w="120" w:type="dxa"/>
              <w:bottom w:w="30" w:type="dxa"/>
              <w:right w:w="120" w:type="dxa"/>
            </w:tcMar>
          </w:tcPr>
          <w:p w14:paraId="0B7DE0C5">
            <w:pPr>
              <w:spacing w:before="120" w:after="120" w:line="288" w:lineRule="auto"/>
              <w:ind w:left="0"/>
              <w:jc w:val="left"/>
            </w:pPr>
            <w:r>
              <w:rPr>
                <w:rFonts w:ascii="Arial" w:hAnsi="Arial" w:eastAsia="等线" w:cs="Arial"/>
                <w:sz w:val="22"/>
              </w:rPr>
              <w:t>用卡人通过融逸金链个人用户入口，基于已分配额度在符合场景等商家用卡，展码支付</w:t>
            </w:r>
          </w:p>
        </w:tc>
      </w:tr>
      <w:tr w14:paraId="76B1AC8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4212AF9">
            <w:pPr>
              <w:spacing w:before="120" w:after="120" w:line="288" w:lineRule="auto"/>
              <w:ind w:left="0"/>
              <w:jc w:val="left"/>
            </w:pPr>
            <w:r>
              <w:rPr>
                <w:rFonts w:ascii="Arial" w:hAnsi="Arial" w:eastAsia="等线" w:cs="Arial"/>
                <w:sz w:val="22"/>
              </w:rPr>
              <w:t>潜在功能</w:t>
            </w:r>
          </w:p>
        </w:tc>
        <w:tc>
          <w:tcPr>
            <w:tcW w:w="7245" w:type="dxa"/>
            <w:tcMar>
              <w:top w:w="60" w:type="dxa"/>
              <w:left w:w="120" w:type="dxa"/>
              <w:bottom w:w="30" w:type="dxa"/>
              <w:right w:w="120" w:type="dxa"/>
            </w:tcMar>
          </w:tcPr>
          <w:p w14:paraId="078C1911">
            <w:pPr>
              <w:spacing w:before="120" w:after="120" w:line="288" w:lineRule="auto"/>
              <w:ind w:left="0"/>
              <w:jc w:val="left"/>
            </w:pPr>
            <w:r>
              <w:rPr>
                <w:rFonts w:ascii="Arial" w:hAnsi="Arial" w:eastAsia="等线" w:cs="Arial"/>
                <w:sz w:val="22"/>
              </w:rPr>
              <w:t>融逸金链提供个人使用入口，发码通过金流平台调用银行获取付款码并为用卡人展示付款码完成支付</w:t>
            </w:r>
          </w:p>
        </w:tc>
      </w:tr>
    </w:tbl>
    <w:p w14:paraId="4C741FDD">
      <w:pPr>
        <w:spacing w:before="120" w:after="120" w:line="288" w:lineRule="auto"/>
        <w:ind w:left="0"/>
        <w:jc w:val="left"/>
      </w:pPr>
    </w:p>
    <w:p w14:paraId="31381DB7">
      <w:pPr>
        <w:spacing w:before="380" w:after="140" w:line="288" w:lineRule="auto"/>
        <w:ind w:left="0"/>
        <w:jc w:val="left"/>
        <w:outlineLvl w:val="0"/>
      </w:pPr>
      <w:bookmarkStart w:id="3" w:name="heading_3"/>
      <w:r>
        <w:rPr>
          <w:rFonts w:ascii="Arial" w:hAnsi="Arial" w:eastAsia="等线" w:cs="Arial"/>
          <w:b/>
          <w:sz w:val="36"/>
        </w:rPr>
        <w:t>项目主要干系方及职责</w:t>
      </w:r>
      <w:bookmarkEnd w:id="3"/>
    </w:p>
    <w:p w14:paraId="19FE572F">
      <w:pPr>
        <w:spacing w:before="120" w:after="120" w:line="288" w:lineRule="auto"/>
        <w:ind w:left="0"/>
        <w:jc w:val="left"/>
      </w:pPr>
      <w:r>
        <w:rPr>
          <w:rFonts w:ascii="Arial" w:hAnsi="Arial" w:eastAsia="等线" w:cs="Arial"/>
          <w:b/>
          <w:sz w:val="22"/>
        </w:rPr>
        <w:t>融逸金链</w:t>
      </w:r>
      <w:r>
        <w:rPr>
          <w:rFonts w:ascii="Arial" w:hAnsi="Arial" w:eastAsia="等线" w:cs="Arial"/>
          <w:sz w:val="22"/>
        </w:rPr>
        <w:t>：VCC额度管理、用卡人管理、申卡、卡管理（其中申卡和卡管理调用金流API），展码支付</w:t>
      </w:r>
    </w:p>
    <w:p w14:paraId="14C0108B">
      <w:pPr>
        <w:spacing w:before="120" w:after="120" w:line="288" w:lineRule="auto"/>
        <w:ind w:left="0"/>
        <w:jc w:val="left"/>
      </w:pPr>
      <w:r>
        <w:rPr>
          <w:rFonts w:ascii="Arial" w:hAnsi="Arial" w:eastAsia="等线" w:cs="Arial"/>
          <w:b/>
          <w:sz w:val="22"/>
        </w:rPr>
        <w:t>金流平台：</w:t>
      </w:r>
      <w:r>
        <w:rPr>
          <w:rFonts w:ascii="Arial" w:hAnsi="Arial" w:eastAsia="等线" w:cs="Arial"/>
          <w:sz w:val="22"/>
        </w:rPr>
        <w:t>与合作银行对接，输出原子化能力供融逸金链调用，包括申卡、发码等。</w:t>
      </w:r>
    </w:p>
    <w:p w14:paraId="489C5FA0">
      <w:pPr>
        <w:spacing w:before="120" w:after="120" w:line="288" w:lineRule="auto"/>
        <w:ind w:left="0"/>
        <w:jc w:val="left"/>
      </w:pPr>
      <w:r>
        <w:rPr>
          <w:rFonts w:ascii="Arial" w:hAnsi="Arial" w:eastAsia="等线" w:cs="Arial"/>
          <w:b/>
          <w:sz w:val="22"/>
        </w:rPr>
        <w:t>保理OP：</w:t>
      </w:r>
      <w:r>
        <w:rPr>
          <w:rFonts w:ascii="Arial" w:hAnsi="Arial" w:eastAsia="等线" w:cs="Arial"/>
          <w:sz w:val="22"/>
        </w:rPr>
        <w:t>负责保理融资额度的审批与发放，设置用于VCC发卡的额度。</w:t>
      </w:r>
    </w:p>
    <w:p w14:paraId="76EA144E">
      <w:pPr>
        <w:spacing w:before="120" w:after="120" w:line="288" w:lineRule="auto"/>
        <w:ind w:left="0"/>
        <w:jc w:val="left"/>
      </w:pPr>
      <w:r>
        <w:rPr>
          <w:rFonts w:ascii="Arial" w:hAnsi="Arial" w:eastAsia="等线" w:cs="Arial"/>
          <w:b/>
          <w:sz w:val="22"/>
        </w:rPr>
        <w:t>资金运营：</w:t>
      </w:r>
      <w:r>
        <w:rPr>
          <w:rFonts w:ascii="Arial" w:hAnsi="Arial" w:eastAsia="等线" w:cs="Arial"/>
          <w:sz w:val="22"/>
        </w:rPr>
        <w:t>向发卡行准备资金，便于实际用卡扣款。</w:t>
      </w:r>
    </w:p>
    <w:p w14:paraId="48FF0DB0">
      <w:pPr>
        <w:spacing w:before="120" w:after="120" w:line="288" w:lineRule="auto"/>
        <w:ind w:left="0"/>
        <w:jc w:val="left"/>
      </w:pPr>
      <w:r>
        <w:rPr>
          <w:rFonts w:ascii="Arial" w:hAnsi="Arial" w:eastAsia="等线" w:cs="Arial"/>
          <w:i/>
          <w:color w:val="8F959E"/>
          <w:sz w:val="22"/>
        </w:rPr>
        <w:t>关于人工处理部分，可以在后续落地SOP时明确具体责任人和详细流程。</w:t>
      </w:r>
    </w:p>
    <w:p w14:paraId="73A25DD4">
      <w:pPr>
        <w:spacing w:before="120" w:after="120" w:line="288" w:lineRule="auto"/>
        <w:ind w:left="0"/>
        <w:jc w:val="left"/>
      </w:pPr>
    </w:p>
    <w:p w14:paraId="209E3843">
      <w:pPr>
        <w:spacing w:before="120" w:after="120" w:line="288" w:lineRule="auto"/>
        <w:ind w:left="0"/>
        <w:jc w:val="left"/>
      </w:pPr>
    </w:p>
    <w:p w14:paraId="245A098D">
      <w:pPr>
        <w:spacing w:before="380" w:after="140" w:line="288" w:lineRule="auto"/>
        <w:ind w:left="0"/>
        <w:jc w:val="left"/>
        <w:outlineLvl w:val="0"/>
      </w:pPr>
      <w:bookmarkStart w:id="4" w:name="heading_4"/>
      <w:r>
        <w:rPr>
          <w:rFonts w:ascii="Arial" w:hAnsi="Arial" w:eastAsia="等线" w:cs="Arial"/>
          <w:b/>
          <w:sz w:val="36"/>
        </w:rPr>
        <w:t>流程示意（以物流事业线加油场景为例）</w:t>
      </w:r>
      <w:bookmarkEnd w:id="4"/>
    </w:p>
    <w:p w14:paraId="60DC8321">
      <w:pPr>
        <w:spacing w:before="120" w:after="120" w:line="288" w:lineRule="auto"/>
        <w:ind w:left="0"/>
        <w:jc w:val="center"/>
      </w:pPr>
      <w:r>
        <w:drawing>
          <wp:inline distT="0" distB="0" distL="0" distR="0">
            <wp:extent cx="5257800" cy="2905125"/>
            <wp:effectExtent l="0" t="0" r="0" b="158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905125"/>
                    </a:xfrm>
                    <a:prstGeom prst="rect">
                      <a:avLst/>
                    </a:prstGeom>
                  </pic:spPr>
                </pic:pic>
              </a:graphicData>
            </a:graphic>
          </wp:inline>
        </w:drawing>
      </w:r>
    </w:p>
    <w:p w14:paraId="282DB48A">
      <w:pPr>
        <w:spacing w:before="380" w:after="140" w:line="288" w:lineRule="auto"/>
        <w:ind w:left="0"/>
        <w:jc w:val="left"/>
        <w:outlineLvl w:val="0"/>
      </w:pPr>
      <w:bookmarkStart w:id="5" w:name="heading_5"/>
      <w:r>
        <w:rPr>
          <w:rFonts w:ascii="Arial" w:hAnsi="Arial" w:eastAsia="等线" w:cs="Arial"/>
          <w:b/>
          <w:sz w:val="36"/>
        </w:rPr>
        <w:t>目标</w:t>
      </w:r>
      <w:bookmarkEnd w:id="5"/>
    </w:p>
    <w:p w14:paraId="6E5F7549">
      <w:pPr>
        <w:spacing w:before="120" w:after="120" w:line="288" w:lineRule="auto"/>
        <w:ind w:left="0"/>
        <w:jc w:val="left"/>
      </w:pPr>
      <w:r>
        <w:rPr>
          <w:rFonts w:ascii="Arial" w:hAnsi="Arial" w:eastAsia="等线" w:cs="Arial"/>
          <w:b/>
          <w:sz w:val="22"/>
        </w:rPr>
        <w:t>2026年4月底</w:t>
      </w:r>
      <w:r>
        <w:rPr>
          <w:rFonts w:ascii="Arial" w:hAnsi="Arial" w:eastAsia="等线" w:cs="Arial"/>
          <w:sz w:val="22"/>
        </w:rPr>
        <w:t>完成上线，具备商用条件。</w:t>
      </w:r>
    </w:p>
    <w:p w14:paraId="56D8DAEE">
      <w:pPr>
        <w:spacing w:before="120" w:after="120" w:line="288" w:lineRule="auto"/>
        <w:ind w:left="0"/>
        <w:jc w:val="left"/>
      </w:pPr>
      <w:r>
        <w:rPr>
          <w:rFonts w:ascii="Arial" w:hAnsi="Arial" w:eastAsia="等线" w:cs="Arial"/>
          <w:sz w:val="22"/>
        </w:rPr>
        <w:t>覆盖：融资/VCC额度管理、申卡、卡管理、展码支付</w:t>
      </w:r>
    </w:p>
    <w:p w14:paraId="10BA5EA2">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AC00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0DB3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D6F32F"/>
    <w:multiLevelType w:val="singleLevel"/>
    <w:tmpl w:val="CBD6F32F"/>
    <w:lvl w:ilvl="0" w:tentative="0">
      <w:start w:val="5"/>
      <w:numFmt w:val="decimal"/>
      <w:lvlText w:val="%1."/>
      <w:lvlJc w:val="left"/>
      <w:rPr>
        <w:color w:val="3370FF"/>
      </w:rPr>
    </w:lvl>
  </w:abstractNum>
  <w:abstractNum w:abstractNumId="1">
    <w:nsid w:val="E3FF5333"/>
    <w:multiLevelType w:val="singleLevel"/>
    <w:tmpl w:val="E3FF5333"/>
    <w:lvl w:ilvl="0" w:tentative="0">
      <w:start w:val="1"/>
      <w:numFmt w:val="decimal"/>
      <w:lvlText w:val="%1."/>
      <w:lvlJc w:val="left"/>
      <w:rPr>
        <w:color w:val="3370FF"/>
      </w:rPr>
    </w:lvl>
  </w:abstractNum>
  <w:abstractNum w:abstractNumId="2">
    <w:nsid w:val="E7C6EDD0"/>
    <w:multiLevelType w:val="singleLevel"/>
    <w:tmpl w:val="E7C6EDD0"/>
    <w:lvl w:ilvl="0" w:tentative="0">
      <w:start w:val="2"/>
      <w:numFmt w:val="decimal"/>
      <w:lvlText w:val="%1."/>
      <w:lvlJc w:val="left"/>
      <w:rPr>
        <w:color w:val="3370FF"/>
      </w:rPr>
    </w:lvl>
  </w:abstractNum>
  <w:abstractNum w:abstractNumId="3">
    <w:nsid w:val="EFDEA25D"/>
    <w:multiLevelType w:val="singleLevel"/>
    <w:tmpl w:val="EFDEA25D"/>
    <w:lvl w:ilvl="0" w:tentative="0">
      <w:start w:val="4"/>
      <w:numFmt w:val="decimal"/>
      <w:lvlText w:val="%1."/>
      <w:lvlJc w:val="left"/>
      <w:rPr>
        <w:color w:val="3370FF"/>
      </w:rPr>
    </w:lvl>
  </w:abstractNum>
  <w:abstractNum w:abstractNumId="4">
    <w:nsid w:val="FFD7B01D"/>
    <w:multiLevelType w:val="singleLevel"/>
    <w:tmpl w:val="FFD7B01D"/>
    <w:lvl w:ilvl="0" w:tentative="0">
      <w:start w:val="3"/>
      <w:numFmt w:val="decimal"/>
      <w:lvlText w:val="%1."/>
      <w:lvlJc w:val="left"/>
      <w:rPr>
        <w:color w:val="3370FF"/>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F52294"/>
    <w:rsid w:val="47F61AC8"/>
    <w:rsid w:val="77D340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790</Words>
  <Characters>824</Characters>
  <TotalTime>0</TotalTime>
  <ScaleCrop>false</ScaleCrop>
  <LinksUpToDate>false</LinksUpToDate>
  <CharactersWithSpaces>824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2026-03-25T18:46:00Z</dcterms:created>
  <dc:creator>Apache POI</dc:creator>
  <cp:lastModifiedBy>天逸集团</cp:lastModifiedBy>
  <dcterms:modified xsi:type="dcterms:W3CDTF">2026-03-26T07:15:21Z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79856E2464874619837B203A6D9D7B88_13</vt:lpwstr>
  </property>
</Properties>
</file>