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Σ(i=1→n) d(πᵢ, πᵢ₊₁) + d(πₙ, π₁)</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Σ(i=1→n) xᵢⱼ = 1，    j = 1, 2, …, n</w:t>
      </w:r>
    </w:p>
    <w:p>
      <w:pPr>
        <w:spacing w:line="360" w:lineRule="auto" w:before="120" w:after="120"/>
        <w:jc w:val="center"/>
      </w:pPr>
      <w:r>
        <w:rPr>
          <w:rFonts w:ascii="Cambria Math" w:hAnsi="Cambria Math" w:eastAsia="Cambria Math" w:cs="Cambria Math"/>
          <w:sz w:val="24"/>
        </w:rPr>
        <w:t>Σ(j=1→n) xᵢⱼ = 1，    i = 1, 2, …, n</w:t>
      </w:r>
    </w:p>
    <w:p>
      <w:pPr>
        <w:spacing w:line="360" w:lineRule="auto" w:before="120" w:after="120"/>
        <w:jc w:val="center"/>
      </w:pPr>
      <w:r>
        <w:rPr>
          <w:rFonts w:ascii="Cambria Math" w:hAnsi="Cambria Math" w:eastAsia="Cambria Math" w:cs="Cambria Math"/>
          <w:sz w:val="24"/>
        </w:rPr>
        <w:t>xᵢⱼ ∈ {0, 1}，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τᵢⱼ(t + 1) = (1 − ρ) · τᵢⱼ(t)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τᵢⱼ(t + 1) = τᵢⱼ(t + 1) + Σ(k=1→m) Δτᵢⱼᵏ</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0"/>
        <w:jc w:val="center"/>
      </w:pPr>
      <w:r>
        <w:rPr>
          <w:rFonts w:ascii="Cambria Math" w:hAnsi="Cambria Math" w:eastAsia="Cambria Math" w:cs="Cambria Math"/>
          <w:sz w:val="24"/>
        </w:rPr>
        <w:t>Δτᵢⱼᵏ = ⎧ Q / Lₖ，若蚂蚁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0"/>
        <w:jc w:val="center"/>
      </w:pPr>
      <w:r>
        <w:rPr>
          <w:rFonts w:ascii="Cambria Math" w:hAnsi="Cambria Math" w:eastAsia="Cambria Math" w:cs="Cambria Math"/>
          <w:sz w:val="24"/>
        </w:rPr>
        <w:t>Δτᵢⱼᵏ = ⎧ Q / dᵢⱼ，若蚂蚁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jc w:val="left"/>
      </w:pPr>
      <w:r>
        <w:rPr>
          <w:rFonts w:ascii="宋体" w:hAnsi="宋体" w:eastAsia="宋体" w:cs="宋体"/>
          <w:b/>
          <w:sz w:val="24"/>
        </w:rPr>
        <w:t>Ant-Density模型：</w:t>
      </w:r>
    </w:p>
    <w:p>
      <w:pPr>
        <w:spacing w:line="360" w:lineRule="auto" w:before="120" w:after="0"/>
        <w:jc w:val="center"/>
      </w:pPr>
      <w:r>
        <w:rPr>
          <w:rFonts w:ascii="Cambria Math" w:hAnsi="Cambria Math" w:eastAsia="Cambria Math" w:cs="Cambria Math"/>
          <w:sz w:val="24"/>
        </w:rPr>
        <w:t>Δτᵢⱼᵏ = ⎧ Q，若蚂蚁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0"/>
        <w:jc w:val="center"/>
      </w:pPr>
      <w:r>
        <w:rPr>
          <w:rFonts w:ascii="Cambria Math" w:hAnsi="Cambria Math" w:eastAsia="Cambria Math" w:cs="Cambria Math"/>
          <w:sz w:val="24"/>
        </w:rPr>
        <w:t>Pᵏᵢⱼ = ⎧ ([τᵢⱼ]^α · [ηᵢⱼ]^β) / (Σ(s∈allowₖ) [τᵢₛ]^α · [ηᵢₛ]^β)，若 j ∈ allowₖ</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pᵢ = fᵢ / Σ(j=1→N) fⱼ</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d(πᵢ, πᵢ₊₁) − d(πⱼ, πⱼ₊₁) + d(πᵢ, πⱼ) + d(πᵢ₊₁, πⱼ₊₁)</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ΔL = L′ − L = d(πᵢ, πⱼ) + d(πᵢ₊₁, πⱼ₊₁) − d(πᵢ, πᵢ₊₁) − d(πⱼ, πⱼ₊₁)</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120" w:after="60"/>
        <w:jc w:val="center"/>
      </w:pPr>
      <w:r>
        <w:rPr>
          <w:rFonts w:ascii="宋体" w:hAnsi="宋体" w:eastAsia="宋体" w:cs="宋体"/>
          <w:b/>
          <w:sz w:val="24"/>
        </w:rPr>
        <w:t>图3-1 系统总体架构图</w:t>
      </w:r>
    </w:p>
    <w:p>
      <w:pPr>
        <w:spacing w:line="360" w:lineRule="auto" w:before="120" w:after="120"/>
        <w:jc w:val="center"/>
      </w:pPr>
      <w:r>
        <w:drawing>
          <wp:inline xmlns:a="http://schemas.openxmlformats.org/drawingml/2006/main" xmlns:pic="http://schemas.openxmlformats.org/drawingml/2006/picture">
            <wp:extent cx="5580000" cy="3072883"/>
            <wp:docPr id="1" name="Picture 1"/>
            <wp:cNvGraphicFramePr>
              <a:graphicFrameLocks noChangeAspect="1"/>
            </wp:cNvGraphicFramePr>
            <a:graphic>
              <a:graphicData uri="http://schemas.openxmlformats.org/drawingml/2006/picture">
                <pic:pic>
                  <pic:nvPicPr>
                    <pic:cNvPr id="0" name="thesis_system_architecture.png"/>
                    <pic:cNvPicPr/>
                  </pic:nvPicPr>
                  <pic:blipFill>
                    <a:blip r:embed="rId9"/>
                    <a:stretch>
                      <a:fillRect/>
                    </a:stretch>
                  </pic:blipFill>
                  <pic:spPr>
                    <a:xfrm>
                      <a:off x="0" y="0"/>
                      <a:ext cx="5580000" cy="3072883"/>
                    </a:xfrm>
                    <a:prstGeom prst="rect"/>
                  </pic:spPr>
                </pic:pic>
              </a:graphicData>
            </a:graphic>
          </wp:inline>
        </w:drawing>
      </w: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混合蚁群算法流程</w:t>
      </w:r>
    </w:p>
    <w:p>
      <w:pPr>
        <w:spacing w:line="360" w:lineRule="auto" w:before="0" w:after="0"/>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pPr>
        <w:spacing w:line="360" w:lineRule="auto" w:before="120" w:after="60"/>
        <w:jc w:val="center"/>
      </w:pPr>
      <w:r>
        <w:rPr>
          <w:rFonts w:ascii="宋体" w:hAnsi="宋体" w:eastAsia="宋体" w:cs="宋体"/>
          <w:b/>
          <w:sz w:val="24"/>
        </w:rPr>
        <w:t>图3-2 混合蚁群算法流程图</w:t>
      </w:r>
    </w:p>
    <w:p>
      <w:pPr>
        <w:spacing w:line="360" w:lineRule="auto" w:before="120" w:after="120"/>
        <w:jc w:val="center"/>
      </w:pPr>
      <w:r>
        <w:drawing>
          <wp:inline xmlns:a="http://schemas.openxmlformats.org/drawingml/2006/main" xmlns:pic="http://schemas.openxmlformats.org/drawingml/2006/picture">
            <wp:extent cx="5580000" cy="23670320"/>
            <wp:docPr id="2" name="Picture 2"/>
            <wp:cNvGraphicFramePr>
              <a:graphicFrameLocks noChangeAspect="1"/>
            </wp:cNvGraphicFramePr>
            <a:graphic>
              <a:graphicData uri="http://schemas.openxmlformats.org/drawingml/2006/picture">
                <pic:pic>
                  <pic:nvPicPr>
                    <pic:cNvPr id="0" name="thesis_hybrid_algorithm_flow.png"/>
                    <pic:cNvPicPr/>
                  </pic:nvPicPr>
                  <pic:blipFill>
                    <a:blip r:embed="rId10"/>
                    <a:stretch>
                      <a:fillRect/>
                    </a:stretch>
                  </pic:blipFill>
                  <pic:spPr>
                    <a:xfrm>
                      <a:off x="0" y="0"/>
                      <a:ext cx="5580000" cy="23670320"/>
                    </a:xfrm>
                    <a:prstGeom prst="rect"/>
                  </pic:spPr>
                </pic:pic>
              </a:graphicData>
            </a:graphic>
          </wp:inline>
        </w:drawing>
      </w: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α(t) = αₘᵢₙ + (αₘₐₓ − αₘᵢₙ) × t / T</w:t>
      </w:r>
    </w:p>
    <w:p>
      <w:pPr>
        <w:spacing w:line="360" w:lineRule="auto" w:before="120" w:after="120"/>
        <w:jc w:val="center"/>
      </w:pPr>
      <w:r>
        <w:rPr>
          <w:rFonts w:ascii="Cambria Math" w:hAnsi="Cambria Math" w:eastAsia="Cambria Math" w:cs="Cambria Math"/>
          <w:sz w:val="24"/>
        </w:rPr>
        <w:t>β(t) = βₘₐₓ − (βₘₐₓ − βₘᵢₙ) × t / 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平均最优距离</w:t>
            </w:r>
          </w:p>
        </w:tc>
        <w:tc>
          <w:tcPr>
            <w:tcW w:type="dxa" w:w="2197"/>
            <w:vAlign w:val="center"/>
            <w:shd w:fill="EDEDED"/>
          </w:tcPr>
          <w:p>
            <w:pPr>
              <w:spacing w:line="360" w:lineRule="auto" w:before="0" w:after="0"/>
              <w:jc w:val="center"/>
            </w:pPr>
            <w:r/>
            <w:r>
              <w:rPr>
                <w:rFonts w:ascii="宋体" w:hAnsi="宋体" w:eastAsia="宋体" w:cs="宋体"/>
                <w:b/>
                <w:sz w:val="24"/>
              </w:rPr>
              <w:t>较基本ACO改进幅度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sz w:val="24"/>
              </w:rPr>
              <w:t>795.23</w:t>
            </w:r>
          </w:p>
        </w:tc>
        <w:tc>
          <w:tcPr>
            <w:tcW w:type="dxa" w:w="2197"/>
            <w:vAlign w:val="center"/>
          </w:tcPr>
          <w:p>
            <w:pPr>
              <w:spacing w:line="360" w:lineRule="auto" w:before="0" w:after="0"/>
              <w:jc w:val="both"/>
            </w:pPr>
            <w:r/>
            <w:r>
              <w:rPr>
                <w:rFonts w:ascii="宋体" w:hAnsi="宋体" w:eastAsia="宋体" w:cs="宋体"/>
                <w:b/>
                <w:sz w:val="24"/>
              </w:rPr>
              <w:t>8.13%</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797.45</w:t>
            </w:r>
          </w:p>
        </w:tc>
        <w:tc>
          <w:tcPr>
            <w:tcW w:type="dxa" w:w="2197"/>
            <w:vAlign w:val="center"/>
          </w:tcPr>
          <w:p>
            <w:pPr>
              <w:spacing w:line="360" w:lineRule="auto" w:before="0" w:after="0"/>
              <w:jc w:val="both"/>
            </w:pPr>
            <w:r/>
            <w:r>
              <w:rPr>
                <w:rFonts w:ascii="宋体" w:hAnsi="宋体" w:eastAsia="宋体" w:cs="宋体"/>
                <w:b w:val="0"/>
                <w:sz w:val="24"/>
              </w:rPr>
              <w:t>7.88%</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797.68</w:t>
            </w:r>
          </w:p>
        </w:tc>
        <w:tc>
          <w:tcPr>
            <w:tcW w:type="dxa" w:w="2197"/>
            <w:vAlign w:val="center"/>
          </w:tcPr>
          <w:p>
            <w:pPr>
              <w:spacing w:line="360" w:lineRule="auto" w:before="0" w:after="0"/>
              <w:jc w:val="both"/>
            </w:pPr>
            <w:r/>
            <w:r>
              <w:rPr>
                <w:rFonts w:ascii="宋体" w:hAnsi="宋体" w:eastAsia="宋体" w:cs="宋体"/>
                <w:b w:val="0"/>
                <w:sz w:val="24"/>
              </w:rPr>
              <w:t>7.85%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798.22</w:t>
            </w:r>
          </w:p>
        </w:tc>
        <w:tc>
          <w:tcPr>
            <w:tcW w:type="dxa" w:w="2197"/>
            <w:vAlign w:val="center"/>
          </w:tcPr>
          <w:p>
            <w:pPr>
              <w:spacing w:line="360" w:lineRule="auto" w:before="0" w:after="0"/>
              <w:jc w:val="both"/>
            </w:pPr>
            <w:r/>
            <w:r>
              <w:rPr>
                <w:rFonts w:ascii="宋体" w:hAnsi="宋体" w:eastAsia="宋体" w:cs="宋体"/>
                <w:b w:val="0"/>
                <w:sz w:val="24"/>
              </w:rPr>
              <w:t>7.79%</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829.41</w:t>
            </w:r>
          </w:p>
        </w:tc>
        <w:tc>
          <w:tcPr>
            <w:tcW w:type="dxa" w:w="2197"/>
            <w:vAlign w:val="center"/>
          </w:tcPr>
          <w:p>
            <w:pPr>
              <w:spacing w:line="360" w:lineRule="auto" w:before="0" w:after="0"/>
              <w:jc w:val="both"/>
            </w:pPr>
            <w:r/>
            <w:r>
              <w:rPr>
                <w:rFonts w:ascii="宋体" w:hAnsi="宋体" w:eastAsia="宋体" w:cs="宋体"/>
                <w:b w:val="0"/>
                <w:sz w:val="24"/>
              </w:rPr>
              <w:t>4.18%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831.42</w:t>
            </w:r>
          </w:p>
        </w:tc>
        <w:tc>
          <w:tcPr>
            <w:tcW w:type="dxa" w:w="2197"/>
            <w:vAlign w:val="center"/>
          </w:tcPr>
          <w:p>
            <w:pPr>
              <w:spacing w:line="360" w:lineRule="auto" w:before="0" w:after="0"/>
              <w:jc w:val="both"/>
            </w:pPr>
            <w:r/>
            <w:r>
              <w:rPr>
                <w:rFonts w:ascii="宋体" w:hAnsi="宋体" w:eastAsia="宋体" w:cs="宋体"/>
                <w:b w:val="0"/>
                <w:sz w:val="24"/>
              </w:rPr>
              <w:t>3.95%</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val="0"/>
                <w:sz w:val="24"/>
              </w:rPr>
              <w:t>851.33</w:t>
            </w:r>
          </w:p>
        </w:tc>
        <w:tc>
          <w:tcPr>
            <w:tcW w:type="dxa" w:w="2197"/>
            <w:vAlign w:val="center"/>
          </w:tcPr>
          <w:p>
            <w:pPr>
              <w:spacing w:line="360" w:lineRule="auto" w:before="0" w:after="0"/>
              <w:jc w:val="both"/>
            </w:pPr>
            <w:r/>
            <w:r>
              <w:rPr>
                <w:rFonts w:ascii="宋体" w:hAnsi="宋体" w:eastAsia="宋体" w:cs="宋体"/>
                <w:b w:val="0"/>
                <w:sz w:val="24"/>
              </w:rPr>
              <w:t>1.65%</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865.61</w:t>
            </w:r>
          </w:p>
        </w:tc>
        <w:tc>
          <w:tcPr>
            <w:tcW w:type="dxa" w:w="2197"/>
            <w:vAlign w:val="center"/>
          </w:tcPr>
          <w:p>
            <w:pPr>
              <w:spacing w:line="360" w:lineRule="auto" w:before="0" w:after="0"/>
              <w:jc w:val="both"/>
            </w:pPr>
            <w:r/>
            <w:r>
              <w:rPr>
                <w:rFonts w:ascii="宋体" w:hAnsi="宋体" w:eastAsia="宋体" w:cs="宋体"/>
                <w:b w:val="0"/>
                <w:sz w:val="24"/>
              </w:rPr>
              <w:t>基准</w:t>
            </w:r>
          </w:p>
        </w:tc>
      </w:tr>
    </w:tbl>
    <w:p/>
    <w:p>
      <w:pPr>
        <w:spacing w:line="360" w:lineRule="auto" w:before="0" w:after="0"/>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平均运行时间(s)</w:t>
            </w:r>
          </w:p>
        </w:tc>
        <w:tc>
          <w:tcPr>
            <w:tcW w:type="dxa" w:w="2197"/>
            <w:vAlign w:val="center"/>
            <w:shd w:fill="EDEDED"/>
          </w:tcPr>
          <w:p>
            <w:pPr>
              <w:spacing w:line="360" w:lineRule="auto" w:before="0" w:after="0"/>
              <w:jc w:val="center"/>
            </w:pPr>
            <w:r/>
            <w:r>
              <w:rPr>
                <w:rFonts w:ascii="宋体" w:hAnsi="宋体" w:eastAsia="宋体" w:cs="宋体"/>
                <w:b/>
                <w:sz w:val="24"/>
              </w:rPr>
              <w:t>较基本ACO变化幅度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sz w:val="24"/>
              </w:rPr>
              <w:t>34.37</w:t>
            </w:r>
          </w:p>
        </w:tc>
        <w:tc>
          <w:tcPr>
            <w:tcW w:type="dxa" w:w="2197"/>
            <w:vAlign w:val="center"/>
          </w:tcPr>
          <w:p>
            <w:pPr>
              <w:spacing w:line="360" w:lineRule="auto" w:before="0" w:after="0"/>
              <w:jc w:val="both"/>
            </w:pPr>
            <w:r/>
            <w:r>
              <w:rPr>
                <w:rFonts w:ascii="宋体" w:hAnsi="宋体" w:eastAsia="宋体" w:cs="宋体"/>
                <w:b/>
                <w:sz w:val="24"/>
              </w:rPr>
              <w:t>-1.26%</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34.81</w:t>
            </w:r>
          </w:p>
        </w:tc>
        <w:tc>
          <w:tcPr>
            <w:tcW w:type="dxa" w:w="2197"/>
            <w:vAlign w:val="center"/>
          </w:tcPr>
          <w:p>
            <w:pPr>
              <w:spacing w:line="360" w:lineRule="auto" w:before="0" w:after="0"/>
              <w:jc w:val="both"/>
            </w:pPr>
            <w:r/>
            <w:r>
              <w:rPr>
                <w:rFonts w:ascii="宋体" w:hAnsi="宋体" w:eastAsia="宋体" w:cs="宋体"/>
                <w:b w:val="0"/>
                <w:sz w:val="24"/>
              </w:rPr>
              <w:t>基准</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35.07</w:t>
            </w:r>
          </w:p>
        </w:tc>
        <w:tc>
          <w:tcPr>
            <w:tcW w:type="dxa" w:w="2197"/>
            <w:vAlign w:val="center"/>
          </w:tcPr>
          <w:p>
            <w:pPr>
              <w:spacing w:line="360" w:lineRule="auto" w:before="0" w:after="0"/>
              <w:jc w:val="both"/>
            </w:pPr>
            <w:r/>
            <w:r>
              <w:rPr>
                <w:rFonts w:ascii="宋体" w:hAnsi="宋体" w:eastAsia="宋体" w:cs="宋体"/>
                <w:b w:val="0"/>
                <w:sz w:val="24"/>
              </w:rPr>
              <w:t>+0.75%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36.12</w:t>
            </w:r>
          </w:p>
        </w:tc>
        <w:tc>
          <w:tcPr>
            <w:tcW w:type="dxa" w:w="2197"/>
            <w:vAlign w:val="center"/>
          </w:tcPr>
          <w:p>
            <w:pPr>
              <w:spacing w:line="360" w:lineRule="auto" w:before="0" w:after="0"/>
              <w:jc w:val="both"/>
            </w:pPr>
            <w:r/>
            <w:r>
              <w:rPr>
                <w:rFonts w:ascii="宋体" w:hAnsi="宋体" w:eastAsia="宋体" w:cs="宋体"/>
                <w:b w:val="0"/>
                <w:sz w:val="24"/>
              </w:rPr>
              <w:t>+3.76%</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39.71</w:t>
            </w:r>
          </w:p>
        </w:tc>
        <w:tc>
          <w:tcPr>
            <w:tcW w:type="dxa" w:w="2197"/>
            <w:vAlign w:val="center"/>
          </w:tcPr>
          <w:p>
            <w:pPr>
              <w:spacing w:line="360" w:lineRule="auto" w:before="0" w:after="0"/>
              <w:jc w:val="both"/>
            </w:pPr>
            <w:r/>
            <w:r>
              <w:rPr>
                <w:rFonts w:ascii="宋体" w:hAnsi="宋体" w:eastAsia="宋体" w:cs="宋体"/>
                <w:b w:val="0"/>
                <w:sz w:val="24"/>
              </w:rPr>
              <w:t>+14.08%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val="0"/>
                <w:sz w:val="24"/>
              </w:rPr>
              <w:t>39.85</w:t>
            </w:r>
          </w:p>
        </w:tc>
        <w:tc>
          <w:tcPr>
            <w:tcW w:type="dxa" w:w="2197"/>
            <w:vAlign w:val="center"/>
          </w:tcPr>
          <w:p>
            <w:pPr>
              <w:spacing w:line="360" w:lineRule="auto" w:before="0" w:after="0"/>
              <w:jc w:val="both"/>
            </w:pPr>
            <w:r/>
            <w:r>
              <w:rPr>
                <w:rFonts w:ascii="宋体" w:hAnsi="宋体" w:eastAsia="宋体" w:cs="宋体"/>
                <w:b w:val="0"/>
                <w:sz w:val="24"/>
              </w:rPr>
              <w:t>+14.48%</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43.76</w:t>
            </w:r>
          </w:p>
        </w:tc>
        <w:tc>
          <w:tcPr>
            <w:tcW w:type="dxa" w:w="2197"/>
            <w:vAlign w:val="center"/>
          </w:tcPr>
          <w:p>
            <w:pPr>
              <w:spacing w:line="360" w:lineRule="auto" w:before="0" w:after="0"/>
              <w:jc w:val="both"/>
            </w:pPr>
            <w:r/>
            <w:r>
              <w:rPr>
                <w:rFonts w:ascii="宋体" w:hAnsi="宋体" w:eastAsia="宋体" w:cs="宋体"/>
                <w:b w:val="0"/>
                <w:sz w:val="24"/>
              </w:rPr>
              <w:t>+25.71%</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44.06</w:t>
            </w:r>
          </w:p>
        </w:tc>
        <w:tc>
          <w:tcPr>
            <w:tcW w:type="dxa" w:w="2197"/>
            <w:vAlign w:val="center"/>
          </w:tcPr>
          <w:p>
            <w:pPr>
              <w:spacing w:line="360" w:lineRule="auto" w:before="0" w:after="0"/>
              <w:jc w:val="both"/>
            </w:pPr>
            <w:r/>
            <w:r>
              <w:rPr>
                <w:rFonts w:ascii="宋体" w:hAnsi="宋体" w:eastAsia="宋体" w:cs="宋体"/>
                <w:b w:val="0"/>
                <w:sz w:val="24"/>
              </w:rPr>
              <w:t>+26.57%</w:t>
            </w:r>
          </w:p>
        </w:tc>
      </w:tr>
    </w:tbl>
    <w:p/>
    <w:p>
      <w:pPr>
        <w:spacing w:line="360" w:lineRule="auto" w:before="0" w:after="0"/>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