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LogicReader DOCX Fixture</w:t>
      </w:r>
    </w:p>
    <w:p>
      <w:r>
        <w:t>This document exercises the DOCX pipeline: headings, paragraphs, a table and an image.</w:t>
      </w:r>
    </w:p>
    <w:p>
      <w:pPr>
        <w:pStyle w:val="Heading2"/>
      </w:pPr>
      <w:r>
        <w:t>1 Claims and evidence</w:t>
      </w:r>
    </w:p>
    <w:p>
      <w:r>
        <w:t>Attention replaces recurrence with direct pairwise interaction, which improves both accuracy and training throughput.</w:t>
      </w:r>
    </w:p>
    <w:p>
      <w:r>
        <w:t>The proposed method reaches 28.4 BLEU on the English to German task.</w:t>
      </w:r>
    </w:p>
    <w:p>
      <w:pPr>
        <w:pStyle w:val="Heading3"/>
      </w:pPr>
      <w:r>
        <w:t>1.1 Evidence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BLEU</w:t>
            </w:r>
          </w:p>
        </w:tc>
        <w:tc>
          <w:tcPr>
            <w:tcW w:type="dxa" w:w="2880"/>
          </w:tcPr>
          <w:p>
            <w:r>
              <w:t>Parallel</w:t>
            </w:r>
          </w:p>
        </w:tc>
      </w:tr>
      <w:tr>
        <w:tc>
          <w:tcPr>
            <w:tcW w:type="dxa" w:w="2880"/>
          </w:tcPr>
          <w:p>
            <w:r>
              <w:t>RNN baseline</w:t>
            </w:r>
          </w:p>
        </w:tc>
        <w:tc>
          <w:tcPr>
            <w:tcW w:type="dxa" w:w="2880"/>
          </w:tcPr>
          <w:p>
            <w:r>
              <w:t>26.3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Attention</w:t>
            </w:r>
          </w:p>
        </w:tc>
        <w:tc>
          <w:tcPr>
            <w:tcW w:type="dxa" w:w="2880"/>
          </w:tcPr>
          <w:p>
            <w:r>
              <w:t>28.4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2 Figure</w:t>
      </w:r>
    </w:p>
    <w:p>
      <w:r>
        <w:drawing>
          <wp:inline xmlns:a="http://schemas.openxmlformats.org/drawingml/2006/main" xmlns:pic="http://schemas.openxmlformats.org/drawingml/2006/picture">
            <wp:extent cx="5334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quarterly revenue by product line.</w:t>
      </w:r>
    </w:p>
    <w:p>
      <w:pPr>
        <w:pStyle w:val="Heading2"/>
      </w:pPr>
      <w:r>
        <w:t>3 Conclusion</w:t>
      </w:r>
    </w:p>
    <w:p>
      <w:r>
        <w:t>Attention mechanisms keep the model parallel while improving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