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C93F29"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C93F29"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hint="eastAsia"/>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hint="eastAsia"/>
          <w:szCs w:val="20"/>
        </w:rPr>
      </w:pPr>
    </w:p>
    <w:p w:rsidR="00F55C51" w:rsidRDefault="00F55C51" w:rsidP="00812D71">
      <w:pPr>
        <w:wordWrap/>
        <w:adjustRightInd w:val="0"/>
        <w:jc w:val="left"/>
        <w:rPr>
          <w:rFonts w:ascii="Arial" w:hAnsi="Arial" w:cs="Arial" w:hint="eastAsia"/>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hint="eastAsia"/>
          <w:szCs w:val="20"/>
        </w:rPr>
      </w:pPr>
    </w:p>
    <w:p w:rsidR="00F55C51" w:rsidRDefault="00F55C51" w:rsidP="00812D71">
      <w:pPr>
        <w:wordWrap/>
        <w:adjustRightInd w:val="0"/>
        <w:jc w:val="left"/>
        <w:rPr>
          <w:rFonts w:ascii="Arial" w:hAnsi="Arial" w:cs="Arial" w:hint="eastAsia"/>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hint="eastAsia"/>
          <w:szCs w:val="20"/>
        </w:rPr>
      </w:pPr>
    </w:p>
    <w:p w:rsidR="00915EBC" w:rsidRDefault="00915EBC" w:rsidP="00812D71">
      <w:pPr>
        <w:wordWrap/>
        <w:adjustRightInd w:val="0"/>
        <w:jc w:val="left"/>
        <w:rPr>
          <w:rFonts w:ascii="Arial" w:hAnsi="Arial" w:cs="Arial" w:hint="eastAsia"/>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hint="eastAsia"/>
          <w:szCs w:val="20"/>
        </w:rPr>
      </w:pPr>
    </w:p>
    <w:p w:rsidR="00915EBC" w:rsidRPr="00C93F29"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array notation. </w:t>
      </w:r>
      <w:bookmarkStart w:id="0" w:name="_GoBack"/>
      <w:bookmarkEnd w:id="0"/>
    </w:p>
    <w:sectPr w:rsidR="00915EBC" w:rsidRPr="00C93F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D79" w:rsidRDefault="00E26D79" w:rsidP="0078549F">
      <w:pPr>
        <w:spacing w:after="0" w:line="240" w:lineRule="auto"/>
      </w:pPr>
      <w:r>
        <w:separator/>
      </w:r>
    </w:p>
  </w:endnote>
  <w:endnote w:type="continuationSeparator" w:id="0">
    <w:p w:rsidR="00E26D79" w:rsidRDefault="00E26D79"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D79" w:rsidRDefault="00E26D79" w:rsidP="0078549F">
      <w:pPr>
        <w:spacing w:after="0" w:line="240" w:lineRule="auto"/>
      </w:pPr>
      <w:r>
        <w:separator/>
      </w:r>
    </w:p>
  </w:footnote>
  <w:footnote w:type="continuationSeparator" w:id="0">
    <w:p w:rsidR="00E26D79" w:rsidRDefault="00E26D79" w:rsidP="0078549F">
      <w:pPr>
        <w:spacing w:after="0" w:line="240" w:lineRule="auto"/>
      </w:pPr>
      <w:r>
        <w:continuationSeparator/>
      </w:r>
    </w:p>
  </w:footnote>
  <w:footnote w:id="1">
    <w:p w:rsidR="00C93F29" w:rsidRDefault="00C93F29">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C93F29" w:rsidRPr="0078549F" w:rsidRDefault="00C93F29">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C93F29" w:rsidRPr="00BD18F0" w:rsidRDefault="00C93F29"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C93F29" w:rsidRPr="0078549F" w:rsidRDefault="00C93F29"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C93F29" w:rsidRPr="0078549F" w:rsidRDefault="00C93F29">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6778"/>
    <w:rsid w:val="0059775F"/>
    <w:rsid w:val="005B31A3"/>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B45FB"/>
    <w:rsid w:val="007E0BA1"/>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42B71"/>
    <w:rsid w:val="00947EEE"/>
    <w:rsid w:val="00965039"/>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8F0"/>
    <w:rsid w:val="00BF7E15"/>
    <w:rsid w:val="00C12BC2"/>
    <w:rsid w:val="00C150E0"/>
    <w:rsid w:val="00C22803"/>
    <w:rsid w:val="00C248B9"/>
    <w:rsid w:val="00C37275"/>
    <w:rsid w:val="00C93F29"/>
    <w:rsid w:val="00CA32C0"/>
    <w:rsid w:val="00CB018B"/>
    <w:rsid w:val="00CD26DE"/>
    <w:rsid w:val="00CE5918"/>
    <w:rsid w:val="00CE6096"/>
    <w:rsid w:val="00D36F1E"/>
    <w:rsid w:val="00D41A28"/>
    <w:rsid w:val="00D44404"/>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942"/>
    <w:rsid w:val="00EC44C5"/>
    <w:rsid w:val="00ED2342"/>
    <w:rsid w:val="00ED3BCB"/>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8031F-9C65-4B8E-9B95-054527CB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23</Pages>
  <Words>6045</Words>
  <Characters>34463</Characters>
  <Application>Microsoft Office Word</Application>
  <DocSecurity>0</DocSecurity>
  <Lines>287</Lines>
  <Paragraphs>80</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44</cp:revision>
  <dcterms:created xsi:type="dcterms:W3CDTF">2021-05-28T12:35:00Z</dcterms:created>
  <dcterms:modified xsi:type="dcterms:W3CDTF">2021-07-14T13:00:00Z</dcterms:modified>
</cp:coreProperties>
</file>