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682393"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lastRenderedPageBreak/>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682393"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682393"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68239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68239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68C0D3F" w14:textId="77777777" w:rsidR="00B522FF" w:rsidRDefault="00B522FF"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lastRenderedPageBreak/>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lastRenderedPageBreak/>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lastRenderedPageBreak/>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hint="eastAsia"/>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 xml:space="preserve">For this process, there are two ways- one of them is utilizing the Internet and use the package and another </w:t>
      </w:r>
      <w:r w:rsidR="00EB0F0F">
        <w:rPr>
          <w:rFonts w:ascii="Arial" w:hAnsi="Arial" w:cs="Arial" w:hint="eastAsia"/>
          <w:szCs w:val="20"/>
        </w:rPr>
        <w:lastRenderedPageBreak/>
        <w:t>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hint="eastAsia"/>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hint="eastAsia"/>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hint="eastAsia"/>
          <w:szCs w:val="20"/>
        </w:rPr>
      </w:pPr>
    </w:p>
    <w:p w14:paraId="3F60704E" w14:textId="1E31F2E4" w:rsidR="00EB0F0F" w:rsidRDefault="00EB0F0F" w:rsidP="007057C4">
      <w:pPr>
        <w:rPr>
          <w:rFonts w:ascii="Arial" w:hAnsi="Arial" w:cs="Arial" w:hint="eastAsia"/>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hint="eastAsia"/>
          <w:szCs w:val="20"/>
        </w:rPr>
      </w:pPr>
    </w:p>
    <w:p w14:paraId="4BD5193A" w14:textId="27A971D0" w:rsidR="00EB0F0F" w:rsidRDefault="00EB0F0F" w:rsidP="007057C4">
      <w:pPr>
        <w:rPr>
          <w:rFonts w:ascii="Arial" w:hAnsi="Arial" w:cs="Arial" w:hint="eastAsia"/>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hint="eastAsia"/>
          <w:szCs w:val="20"/>
        </w:rPr>
      </w:pPr>
    </w:p>
    <w:p w14:paraId="5F1F94E9" w14:textId="0266A345" w:rsidR="00EB0F0F" w:rsidRDefault="00EB0F0F" w:rsidP="007057C4">
      <w:pPr>
        <w:rPr>
          <w:rFonts w:ascii="Arial" w:hAnsi="Arial" w:cs="Arial" w:hint="eastAsia"/>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hint="eastAsia"/>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hint="eastAsia"/>
          <w:szCs w:val="20"/>
        </w:rPr>
      </w:pPr>
    </w:p>
    <w:p w14:paraId="3C27A7BE" w14:textId="6C57248E" w:rsidR="00EB0F0F" w:rsidRDefault="00EB0F0F" w:rsidP="007057C4">
      <w:pPr>
        <w:rPr>
          <w:rFonts w:ascii="Arial" w:hAnsi="Arial" w:cs="Arial" w:hint="eastAsia"/>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hint="eastAsia"/>
          <w:szCs w:val="20"/>
        </w:rPr>
      </w:pPr>
    </w:p>
    <w:p w14:paraId="662241DC" w14:textId="4720822D" w:rsidR="00F74F27" w:rsidRDefault="00F74F27" w:rsidP="007057C4">
      <w:pPr>
        <w:rPr>
          <w:rFonts w:ascii="Arial" w:hAnsi="Arial" w:cs="Arial" w:hint="eastAsia"/>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hint="eastAsia"/>
          <w:szCs w:val="20"/>
        </w:rPr>
      </w:pPr>
    </w:p>
    <w:p w14:paraId="5A0586C8" w14:textId="14F28DB6" w:rsidR="00F74F27" w:rsidRDefault="00F74F27" w:rsidP="007057C4">
      <w:pPr>
        <w:rPr>
          <w:rFonts w:ascii="Arial" w:hAnsi="Arial" w:cs="Arial" w:hint="eastAsia"/>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hint="eastAsia"/>
          <w:szCs w:val="20"/>
        </w:rPr>
      </w:pPr>
    </w:p>
    <w:p w14:paraId="26BBD55B" w14:textId="6DF4C93C" w:rsidR="00F74F27" w:rsidRDefault="00F74F27" w:rsidP="007057C4">
      <w:pPr>
        <w:rPr>
          <w:rFonts w:ascii="Arial" w:hAnsi="Arial" w:cs="Arial" w:hint="eastAsia"/>
          <w:szCs w:val="20"/>
        </w:rPr>
      </w:pPr>
      <w:r>
        <w:rPr>
          <w:rFonts w:ascii="Arial" w:hAnsi="Arial" w:cs="Arial" w:hint="eastAsia"/>
          <w:szCs w:val="20"/>
        </w:rPr>
        <w:lastRenderedPageBreak/>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hint="eastAsia"/>
          <w:szCs w:val="20"/>
        </w:rPr>
      </w:pPr>
    </w:p>
    <w:p w14:paraId="208D4268" w14:textId="06937E8D" w:rsidR="00F74F27" w:rsidRDefault="00F74F27" w:rsidP="00F74F27">
      <w:pPr>
        <w:rPr>
          <w:rFonts w:ascii="Arial" w:hAnsi="Arial" w:cs="Arial" w:hint="eastAsia"/>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hint="eastAsia"/>
          <w:szCs w:val="20"/>
        </w:rPr>
      </w:pPr>
    </w:p>
    <w:p w14:paraId="0C672F13" w14:textId="053E6679" w:rsidR="00F74F27" w:rsidRDefault="00F74F27" w:rsidP="00F74F27">
      <w:pPr>
        <w:rPr>
          <w:rFonts w:ascii="Arial" w:hAnsi="Arial" w:cs="Arial" w:hint="eastAsia"/>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hint="eastAsia"/>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hint="eastAsia"/>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hint="eastAsia"/>
          <w:szCs w:val="20"/>
        </w:rPr>
      </w:pPr>
    </w:p>
    <w:p w14:paraId="13F9DAA2" w14:textId="432C3CDF" w:rsidR="0023166B" w:rsidRDefault="0023166B" w:rsidP="00F74F27">
      <w:pPr>
        <w:rPr>
          <w:rFonts w:ascii="Arial" w:hAnsi="Arial" w:cs="Arial" w:hint="eastAsia"/>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hint="eastAsia"/>
          <w:szCs w:val="20"/>
        </w:rPr>
      </w:pPr>
    </w:p>
    <w:p w14:paraId="5465FC1B" w14:textId="0983C805" w:rsidR="0023166B" w:rsidRDefault="0023166B" w:rsidP="00F74F27">
      <w:pPr>
        <w:rPr>
          <w:rFonts w:ascii="Arial" w:hAnsi="Arial" w:cs="Arial" w:hint="eastAsia"/>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hint="eastAsia"/>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hint="eastAsia"/>
          <w:szCs w:val="20"/>
        </w:rPr>
      </w:pPr>
      <w:bookmarkStart w:id="1" w:name="_GoBack"/>
      <w:bookmarkEnd w:id="1"/>
    </w:p>
    <w:p w14:paraId="079A37A7" w14:textId="77777777" w:rsidR="0023166B" w:rsidRDefault="0023166B" w:rsidP="00F74F27">
      <w:pPr>
        <w:rPr>
          <w:rFonts w:ascii="Arial" w:hAnsi="Arial" w:cs="Arial" w:hint="eastAsia"/>
          <w:szCs w:val="20"/>
        </w:rPr>
      </w:pPr>
    </w:p>
    <w:p w14:paraId="4255C70D" w14:textId="77777777" w:rsidR="0023166B" w:rsidRPr="00F74F27" w:rsidRDefault="0023166B" w:rsidP="00F74F27">
      <w:pPr>
        <w:rPr>
          <w:rFonts w:ascii="Arial" w:hAnsi="Arial" w:cs="Arial"/>
          <w:szCs w:val="20"/>
        </w:rPr>
      </w:pPr>
    </w:p>
    <w:sectPr w:rsidR="0023166B" w:rsidRPr="00F74F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31916"/>
    <w:rsid w:val="00147D71"/>
    <w:rsid w:val="0015032F"/>
    <w:rsid w:val="001A1EED"/>
    <w:rsid w:val="001A72B9"/>
    <w:rsid w:val="001F2A71"/>
    <w:rsid w:val="00221313"/>
    <w:rsid w:val="0023166B"/>
    <w:rsid w:val="002621B9"/>
    <w:rsid w:val="00274933"/>
    <w:rsid w:val="00282176"/>
    <w:rsid w:val="002836E9"/>
    <w:rsid w:val="0029308A"/>
    <w:rsid w:val="002B7B05"/>
    <w:rsid w:val="00307DCB"/>
    <w:rsid w:val="004148A3"/>
    <w:rsid w:val="0042207B"/>
    <w:rsid w:val="004A5126"/>
    <w:rsid w:val="004A5AF4"/>
    <w:rsid w:val="004D0073"/>
    <w:rsid w:val="00526DA3"/>
    <w:rsid w:val="0059082D"/>
    <w:rsid w:val="0059775F"/>
    <w:rsid w:val="005D684B"/>
    <w:rsid w:val="005E0B31"/>
    <w:rsid w:val="005E116C"/>
    <w:rsid w:val="00630CB0"/>
    <w:rsid w:val="00682393"/>
    <w:rsid w:val="006A4998"/>
    <w:rsid w:val="006C6EA7"/>
    <w:rsid w:val="007057C4"/>
    <w:rsid w:val="00744563"/>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5466A"/>
    <w:rsid w:val="00973748"/>
    <w:rsid w:val="0099760C"/>
    <w:rsid w:val="009E20B6"/>
    <w:rsid w:val="009F0616"/>
    <w:rsid w:val="009F0DBB"/>
    <w:rsid w:val="009F2D03"/>
    <w:rsid w:val="00A06783"/>
    <w:rsid w:val="00A15944"/>
    <w:rsid w:val="00A34A07"/>
    <w:rsid w:val="00A54C12"/>
    <w:rsid w:val="00A6116D"/>
    <w:rsid w:val="00B250DA"/>
    <w:rsid w:val="00B37FA6"/>
    <w:rsid w:val="00B41A7D"/>
    <w:rsid w:val="00B522FF"/>
    <w:rsid w:val="00B80472"/>
    <w:rsid w:val="00BE0352"/>
    <w:rsid w:val="00C13537"/>
    <w:rsid w:val="00C71FC6"/>
    <w:rsid w:val="00C81FD9"/>
    <w:rsid w:val="00CD1BA1"/>
    <w:rsid w:val="00D2734A"/>
    <w:rsid w:val="00D572B4"/>
    <w:rsid w:val="00DD5C04"/>
    <w:rsid w:val="00DD6D43"/>
    <w:rsid w:val="00DE769B"/>
    <w:rsid w:val="00E13C3A"/>
    <w:rsid w:val="00E44739"/>
    <w:rsid w:val="00E54655"/>
    <w:rsid w:val="00E6164E"/>
    <w:rsid w:val="00E91097"/>
    <w:rsid w:val="00E9443A"/>
    <w:rsid w:val="00EB0F0F"/>
    <w:rsid w:val="00EB1EF1"/>
    <w:rsid w:val="00EE4733"/>
    <w:rsid w:val="00F74F27"/>
    <w:rsid w:val="00FA4AD5"/>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16</Pages>
  <Words>2844</Words>
  <Characters>16213</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9</cp:revision>
  <dcterms:created xsi:type="dcterms:W3CDTF">2021-09-07T12:58:00Z</dcterms:created>
  <dcterms:modified xsi:type="dcterms:W3CDTF">2021-09-15T12:52:00Z</dcterms:modified>
</cp:coreProperties>
</file>