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7"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9"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03644A"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03644A"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r w:rsidRPr="00B37FA6">
        <w:rPr>
          <w:rFonts w:ascii="Arial" w:hAnsi="Arial" w:cs="Arial"/>
          <w:color w:val="282828"/>
          <w:sz w:val="24"/>
          <w:szCs w:val="24"/>
          <w:shd w:val="clear" w:color="auto" w:fill="FFFFFF"/>
        </w:rPr>
        <w:t>cos(a)cos(A) = cos(δ)cos(h)sin(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)cos(</w:t>
      </w:r>
      <w:r w:rsidRPr="00B37FA6">
        <w:rPr>
          <w:rFonts w:ascii="Arial" w:hAnsi="Arial" w:cs="Arial"/>
          <w:color w:val="282828"/>
          <w:sz w:val="24"/>
          <w:szCs w:val="24"/>
          <w:shd w:val="clear" w:color="auto" w:fill="FFFFFF"/>
        </w:rPr>
        <w:t>δ)cos(h)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-sin(</w:t>
      </w:r>
      <w:proofErr w:type="spellStart"/>
      <w:r w:rsidRPr="006A4998">
        <w:rPr>
          <w:rFonts w:ascii="Arial" w:hAnsi="Arial" w:cs="Arial"/>
          <w:i/>
          <w:iCs/>
          <w:color w:val="202122"/>
          <w:szCs w:val="20"/>
          <w:shd w:val="clear" w:color="auto" w:fill="FFFFFF"/>
        </w:rPr>
        <w:t>ϕ</w:t>
      </w:r>
      <w:proofErr w:type="gramStart"/>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)cos</w:t>
      </w:r>
      <w:proofErr w:type="gram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r w:rsidR="006A4998" w:rsidRPr="006A4998">
        <w:rPr>
          <w:rFonts w:ascii="Arial" w:hAnsi="Arial" w:cs="Arial" w:hint="eastAsia"/>
          <w:color w:val="282828"/>
          <w:szCs w:val="20"/>
          <w:shd w:val="clear" w:color="auto" w:fill="FFFFFF"/>
        </w:rPr>
        <w:t>cos(h)</w:t>
      </w:r>
      <w:r w:rsidRPr="006A4998">
        <w:rPr>
          <w:rFonts w:ascii="Arial" w:hAnsi="Arial" w:cs="Arial" w:hint="eastAsia"/>
          <w:color w:val="202122"/>
          <w:szCs w:val="20"/>
          <w:shd w:val="clear" w:color="auto" w:fill="FFFFFF"/>
        </w:rPr>
        <w:t xml:space="preserve"> + cos(</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cos(</w:t>
      </w:r>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proofErr w:type="gramStart"/>
      <w:r w:rsidR="009348CF" w:rsidRPr="006A4998">
        <w:rPr>
          <w:rFonts w:ascii="Arial" w:hAnsi="Arial" w:cs="Arial" w:hint="eastAsia"/>
          <w:color w:val="282828"/>
          <w:szCs w:val="20"/>
          <w:shd w:val="clear" w:color="auto" w:fill="FFFFFF"/>
        </w:rPr>
        <w:t>)</w:t>
      </w:r>
      <w:r w:rsidR="009348CF" w:rsidRPr="006A4998">
        <w:rPr>
          <w:rFonts w:ascii="Arial" w:hAnsi="Arial" w:cs="Arial"/>
          <w:szCs w:val="20"/>
        </w:rPr>
        <w:t xml:space="preserve"> </w:t>
      </w:r>
      <w:r w:rsidRPr="006A4998">
        <w:rPr>
          <w:rFonts w:ascii="Arial" w:hAnsi="Arial" w:cs="Arial" w:hint="eastAsia"/>
          <w:szCs w:val="20"/>
        </w:rPr>
        <w:t>)</w:t>
      </w:r>
      <w:proofErr w:type="gramEnd"/>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)cos(h) = sin(a)cos(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 cos(a)cos(A)sin(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)sin(a)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)cos(a)cos(A)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03644A"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x = sin(</w:t>
      </w:r>
      <w:proofErr w:type="spellStart"/>
      <w:r w:rsidRPr="002B7B05">
        <w:rPr>
          <w:rFonts w:ascii="Arial" w:hAnsi="Arial" w:cs="Arial"/>
          <w:i/>
          <w:iCs/>
          <w:color w:val="202122"/>
          <w:szCs w:val="20"/>
          <w:shd w:val="clear" w:color="auto" w:fill="FFFFFF"/>
        </w:rPr>
        <w:t>ϕ</w:t>
      </w:r>
      <w:proofErr w:type="gramStart"/>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(a)cos(A) + cos(</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y = cos(a)sin(A</w:t>
      </w:r>
      <w:proofErr w:type="gramStart"/>
      <w:r w:rsidRPr="002B7B05">
        <w:rPr>
          <w:rFonts w:ascii="Arial" w:hAnsi="Arial" w:cs="Arial"/>
          <w:color w:val="202122"/>
          <w:szCs w:val="20"/>
          <w:shd w:val="clear" w:color="auto" w:fill="FFFFFF"/>
        </w:rPr>
        <w:t>) )</w:t>
      </w:r>
      <w:proofErr w:type="gramEnd"/>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03644A"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03644A"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sz w:val="24"/>
          <w:szCs w:val="24"/>
        </w:rPr>
        <w:t>cos(</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l)cos(b)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l)cos(b)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proofErr w:type="gramStart"/>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r w:rsidRPr="0099760C">
        <w:rPr>
          <w:rFonts w:ascii="Arial" w:hAnsi="Arial" w:cs="Arial"/>
          <w:color w:val="282828"/>
          <w:sz w:val="24"/>
          <w:szCs w:val="24"/>
          <w:shd w:val="clear" w:color="auto" w:fill="FFFFFF"/>
        </w:rPr>
        <w:t>α</w:t>
      </w:r>
      <w:proofErr w:type="gramStart"/>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cos(b)sin(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 cos(b)cos(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distance and apparent separation, which is the angle between two sightlines or two point</w:t>
      </w:r>
      <w:r w:rsidR="004750C0">
        <w:rPr>
          <w:rFonts w:ascii="Arial" w:hAnsi="Arial" w:cs="Arial"/>
          <w:color w:val="282828"/>
          <w:szCs w:val="20"/>
          <w:shd w:val="clear" w:color="auto" w:fill="FFFFFF"/>
        </w:rPr>
        <w:t>s</w:t>
      </w:r>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hint="eastAsia"/>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The unitary vectors in the 3-dimension coordinate (x, y, z)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5F033735" w:rsidR="005707BF" w:rsidRDefault="003E1749" w:rsidP="005707BF">
      <w:pPr>
        <w:ind w:left="465"/>
        <w:jc w:val="center"/>
        <w:rPr>
          <w:rFonts w:ascii="Arial" w:hAnsi="Arial" w:cs="Arial"/>
          <w:sz w:val="24"/>
          <w:szCs w:val="24"/>
        </w:rPr>
      </w:pPr>
      <w:proofErr w:type="spellStart"/>
      <w:r>
        <w:rPr>
          <w:rFonts w:ascii="Arial" w:hAnsi="Arial" w:cs="Arial"/>
          <w:color w:val="282828"/>
          <w:sz w:val="24"/>
          <w:szCs w:val="24"/>
          <w:shd w:val="clear" w:color="auto" w:fill="FFFFFF"/>
        </w:rPr>
        <w:t>n</w:t>
      </w:r>
      <w:r w:rsidR="005707BF">
        <w:rPr>
          <w:rFonts w:ascii="Arial" w:hAnsi="Arial" w:cs="Arial"/>
          <w:color w:val="282828"/>
          <w:sz w:val="24"/>
          <w:szCs w:val="24"/>
          <w:shd w:val="clear" w:color="auto" w:fill="FFFFFF"/>
          <w:vertAlign w:val="subscript"/>
        </w:rPr>
        <w:t>A</w:t>
      </w:r>
      <w:proofErr w:type="spell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_A</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r>
                                  <m:rPr>
                                    <m:sty m:val="p"/>
                                  </m:rPr>
                                  <w:rPr>
                                    <w:rFonts w:ascii="Cambria Math" w:hAnsi="Cambria Math" w:cs="Arial"/>
                                    <w:color w:val="282828"/>
                                    <w:sz w:val="24"/>
                                    <w:szCs w:val="24"/>
                                    <w:shd w:val="clear" w:color="auto" w:fill="FFFFFF"/>
                                  </w:rPr>
                                  <m:t>_A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_A</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r>
                                        <m:rPr>
                                          <m:sty m:val="p"/>
                                        </m:rPr>
                                        <w:rPr>
                                          <w:rFonts w:ascii="Cambria Math" w:hAnsi="Cambria Math" w:cs="Arial"/>
                                          <w:color w:val="282828"/>
                                          <w:sz w:val="24"/>
                                          <w:szCs w:val="24"/>
                                          <w:shd w:val="clear" w:color="auto" w:fill="FFFFFF"/>
                                        </w:rPr>
                                        <m:t>_A</m:t>
                                      </m:r>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_A</m:t>
                                      </m:r>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_B</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r>
                          <m:rPr>
                            <m:sty m:val="p"/>
                          </m:rPr>
                          <w:rPr>
                            <w:rFonts w:ascii="Cambria Math" w:hAnsi="Cambria Math" w:cs="Arial"/>
                            <w:color w:val="282828"/>
                            <w:sz w:val="24"/>
                            <w:szCs w:val="24"/>
                            <w:shd w:val="clear" w:color="auto" w:fill="FFFFFF"/>
                          </w:rPr>
                          <m:t>_B</m:t>
                        </m:r>
                        <m:r>
                          <m:rPr>
                            <m:sty m:val="p"/>
                          </m:rPr>
                          <w:rPr>
                            <w:rFonts w:ascii="Cambria Math" w:hAnsi="Cambria Math"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_B</m:t>
                              </m:r>
                              <m:r>
                                <m:rPr>
                                  <m:sty m:val="p"/>
                                </m:rPr>
                                <w:rPr>
                                  <w:rFonts w:ascii="Cambria Math" w:hAnsi="Cambria Math" w:cs="Arial"/>
                                  <w:color w:val="282828"/>
                                  <w:sz w:val="24"/>
                                  <w:szCs w:val="24"/>
                                  <w:shd w:val="clear" w:color="auto" w:fill="FFFFFF"/>
                                </w:rPr>
                                <m:t>)sin⁡(α</m:t>
                              </m:r>
                              <m:r>
                                <m:rPr>
                                  <m:sty m:val="p"/>
                                </m:rPr>
                                <w:rPr>
                                  <w:rFonts w:ascii="Cambria Math" w:hAnsi="Cambria Math" w:cs="Arial"/>
                                  <w:color w:val="282828"/>
                                  <w:sz w:val="24"/>
                                  <w:szCs w:val="24"/>
                                  <w:shd w:val="clear" w:color="auto" w:fill="FFFFFF"/>
                                </w:rPr>
                                <m:t>_B</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_B</m:t>
                              </m:r>
                              <m:r>
                                <m:rPr>
                                  <m:sty m:val="p"/>
                                </m:rPr>
                                <w:rPr>
                                  <w:rFonts w:ascii="Cambria Math" w:hAnsi="Cambria Math" w:cs="Arial"/>
                                  <w:color w:val="282828"/>
                                  <w:sz w:val="24"/>
                                  <w:szCs w:val="24"/>
                                  <w:shd w:val="clear" w:color="auto" w:fill="FFFFFF"/>
                                </w:rPr>
                                <m:t>)</m:t>
                              </m:r>
                            </m:e>
                          </m:mr>
                        </m:m>
                      </m:e>
                    </m:mr>
                  </m:m>
                </m:e>
              </m:mr>
            </m:m>
          </m:e>
        </m:d>
      </m:oMath>
      <w:r>
        <w:rPr>
          <w:rFonts w:ascii="Arial" w:hAnsi="Arial" w:cs="Arial" w:hint="eastAsia"/>
          <w:sz w:val="24"/>
          <w:szCs w:val="24"/>
        </w:rPr>
        <w:t>\</w:t>
      </w: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lastRenderedPageBreak/>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r>
        <w:rPr>
          <w:rFonts w:ascii="Arial" w:hAnsi="Arial" w:cs="Arial"/>
          <w:color w:val="202122"/>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hint="eastAsia"/>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proofErr w:type="gramStart"/>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gram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 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Pr="00E16797" w:rsidRDefault="005707BF" w:rsidP="005C2C26">
      <w:pPr>
        <w:ind w:left="465"/>
        <w:rPr>
          <w:rFonts w:ascii="Arial" w:hAnsi="Arial" w:cs="Arial" w:hint="eastAsia"/>
          <w:color w:val="282828"/>
          <w:sz w:val="24"/>
          <w:szCs w:val="24"/>
          <w:shd w:val="clear" w:color="auto" w:fill="FFFFFF"/>
        </w:rPr>
      </w:pPr>
    </w:p>
    <w:p w14:paraId="6DB55254" w14:textId="77777777" w:rsidR="00C26BF6" w:rsidRDefault="00C26BF6" w:rsidP="005C2C26">
      <w:pPr>
        <w:ind w:left="465"/>
        <w:rPr>
          <w:rFonts w:ascii="Arial" w:hAnsi="Arial" w:cs="Arial"/>
          <w:color w:val="282828"/>
          <w:sz w:val="24"/>
          <w:szCs w:val="24"/>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77777777" w:rsidR="00C26BF6" w:rsidRDefault="00C26BF6" w:rsidP="00C26BF6">
      <w:pPr>
        <w:ind w:left="465"/>
        <w:rPr>
          <w:rFonts w:ascii="Arial" w:hAnsi="Arial" w:cs="Arial"/>
          <w:color w:val="282828"/>
          <w:szCs w:val="20"/>
          <w:shd w:val="clear" w:color="auto" w:fill="FFFFFF"/>
        </w:rPr>
      </w:pPr>
    </w:p>
    <w:p w14:paraId="112028EC" w14:textId="77777777" w:rsidR="00C26BF6" w:rsidRDefault="00C26BF6" w:rsidP="00C26BF6">
      <w:pPr>
        <w:ind w:left="465"/>
        <w:rPr>
          <w:rFonts w:ascii="Arial" w:hAnsi="Arial" w:cs="Arial"/>
          <w:color w:val="282828"/>
          <w:szCs w:val="20"/>
          <w:shd w:val="clear" w:color="auto" w:fill="FFFFFF"/>
        </w:rPr>
      </w:pPr>
    </w:p>
    <w:p w14:paraId="46C59171" w14:textId="77777777" w:rsidR="00C26BF6" w:rsidRPr="00C26BF6"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6"/>
                <w:szCs w:val="36"/>
                <w:shd w:val="clear" w:color="auto" w:fill="FFFFFF"/>
              </w:rPr>
            </m:ctrlPr>
          </m:fPr>
          <m:num>
            <m:r>
              <m:rPr>
                <m:sty m:val="p"/>
              </m:rPr>
              <w:rPr>
                <w:rStyle w:val="mjx-char"/>
                <w:rFonts w:ascii="Cambria Math" w:hAnsi="Cambria Math" w:cs="Arial"/>
                <w:color w:val="050505"/>
                <w:sz w:val="36"/>
                <w:szCs w:val="36"/>
                <w:shd w:val="clear" w:color="auto" w:fill="FFFFFF"/>
              </w:rPr>
              <m:t>p_s</m:t>
            </m:r>
          </m:num>
          <m:den>
            <m:r>
              <m:rPr>
                <m:sty m:val="p"/>
              </m:rPr>
              <w:rPr>
                <w:rStyle w:val="mjx-char"/>
                <w:rFonts w:ascii="Cambria Math" w:hAnsi="Cambria Math" w:cs="Arial"/>
                <w:color w:val="050505"/>
                <w:sz w:val="36"/>
                <w:szCs w:val="36"/>
                <w:shd w:val="clear" w:color="auto" w:fill="FFFFFF"/>
              </w:rPr>
              <m:t>p_n</m:t>
            </m:r>
          </m:den>
        </m:f>
      </m:oMath>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77777777" w:rsidR="00C26BF6" w:rsidRPr="00C26BF6" w:rsidRDefault="00C26BF6" w:rsidP="00C26BF6">
      <w:pPr>
        <w:ind w:left="465"/>
        <w:rPr>
          <w:rFonts w:ascii="Arial" w:hAnsi="Arial" w:cs="Arial"/>
          <w:color w:val="282828"/>
          <w:szCs w:val="20"/>
          <w:shd w:val="clear" w:color="auto" w:fill="FFFFFF"/>
        </w:rPr>
      </w:pPr>
    </w:p>
    <w:p w14:paraId="568C0D3F" w14:textId="77777777" w:rsidR="00B522FF" w:rsidRDefault="00B522FF" w:rsidP="00B522FF">
      <w:pPr>
        <w:ind w:left="466"/>
        <w:jc w:val="center"/>
        <w:rPr>
          <w:rFonts w:ascii="Arial" w:hAnsi="Arial" w:cs="Arial"/>
          <w:sz w:val="24"/>
          <w:szCs w:val="24"/>
        </w:rPr>
      </w:pPr>
    </w:p>
    <w:p w14:paraId="38656C06" w14:textId="77777777" w:rsidR="00C26BF6" w:rsidRDefault="00C26BF6"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3"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4"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lastRenderedPageBreak/>
        <w:t>import</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matplotlib.pyplot</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matplotlib</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np</w:t>
      </w:r>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astropy.coordinates</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astropy.table</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astropy.utils</w:t>
      </w:r>
      <w:proofErr w:type="gramEnd"/>
      <w:r w:rsidRPr="007057C4">
        <w:rPr>
          <w:rFonts w:ascii="Consolas" w:eastAsia="굴림체" w:hAnsi="Consolas" w:cs="굴림체"/>
          <w:color w:val="000000"/>
          <w:kern w:val="0"/>
          <w:sz w:val="18"/>
          <w:szCs w:val="18"/>
        </w:rPr>
        <w:t>.data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astroquery.gaia</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r>
        <w:rPr>
          <w:rFonts w:ascii="Arial" w:hAnsi="Arial" w:cs="Arial" w:hint="eastAsia"/>
          <w:szCs w:val="20"/>
        </w:rPr>
        <w:t>deg</w:t>
      </w:r>
      <w:r>
        <w:rPr>
          <w:rFonts w:ascii="Arial" w:hAnsi="Arial" w:cs="Arial"/>
          <w:szCs w:val="20"/>
        </w:rPr>
        <w:t>’</w:t>
      </w:r>
      <w:r>
        <w:rPr>
          <w:rFonts w:ascii="Arial" w:hAnsi="Arial" w:cs="Arial" w:hint="eastAsia"/>
          <w:szCs w:val="20"/>
        </w:rPr>
        <w:t xml:space="preserve"> as a unit, so this is alternated as </w:t>
      </w:r>
      <w:r>
        <w:rPr>
          <w:rFonts w:ascii="Arial" w:hAnsi="Arial" w:cs="Arial"/>
          <w:szCs w:val="20"/>
        </w:rPr>
        <w:t>‘</w:t>
      </w:r>
      <w:proofErr w:type="gramStart"/>
      <w:r>
        <w:rPr>
          <w:rFonts w:ascii="Arial" w:hAnsi="Arial" w:cs="Arial" w:hint="eastAsia"/>
          <w:szCs w:val="20"/>
        </w:rPr>
        <w:t>ra(</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w:t>
      </w:r>
      <w:r>
        <w:rPr>
          <w:rFonts w:ascii="Arial" w:hAnsi="Arial" w:cs="Arial" w:hint="eastAsia"/>
          <w:szCs w:val="20"/>
        </w:rPr>
        <w:lastRenderedPageBreak/>
        <w:t>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SkyCoord.from_name</w:t>
      </w:r>
      <w:proofErr w:type="spellEnd"/>
      <w:r>
        <w:rPr>
          <w:rFonts w:ascii="Consolas" w:eastAsia="굴림체" w:hAnsi="Consolas" w:cs="굴림체" w:hint="eastAsia"/>
          <w:bCs/>
          <w:color w:val="000000"/>
          <w:kern w:val="0"/>
          <w:sz w:val="18"/>
          <w:szCs w:val="18"/>
        </w:rPr>
        <w:t>(</w:t>
      </w:r>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t>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gramStart"/>
      <w:r w:rsidR="00973748">
        <w:rPr>
          <w:rFonts w:ascii="Arial" w:hAnsi="Arial" w:cs="Arial" w:hint="eastAsia"/>
          <w:szCs w:val="20"/>
        </w:rPr>
        <w:t>ra(</w:t>
      </w:r>
      <w:proofErr w:type="gramEnd"/>
      <w:r w:rsidR="00973748">
        <w:rPr>
          <w:rFonts w:ascii="Arial" w:hAnsi="Arial" w:cs="Arial" w:hint="eastAsia"/>
          <w:szCs w:val="20"/>
        </w:rPr>
        <w:t xml:space="preserve">Right </w:t>
      </w:r>
      <w:r w:rsidR="00973748">
        <w:rPr>
          <w:rFonts w:ascii="Arial" w:hAnsi="Arial" w:cs="Arial" w:hint="eastAsia"/>
          <w:szCs w:val="20"/>
        </w:rPr>
        <w:lastRenderedPageBreak/>
        <w:t xml:space="preserve">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r>
        <w:rPr>
          <w:rFonts w:ascii="Arial" w:hAnsi="Arial" w:cs="Arial" w:hint="eastAsia"/>
          <w:szCs w:val="20"/>
        </w:rPr>
        <w:t>ra</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nonidentical coordinate system is employing the </w:t>
      </w:r>
      <w:r>
        <w:rPr>
          <w:rFonts w:ascii="Arial" w:hAnsi="Arial" w:cs="Arial"/>
          <w:szCs w:val="20"/>
        </w:rPr>
        <w:t>‘</w:t>
      </w:r>
      <w:proofErr w:type="gramStart"/>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Start"/>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proofErr w:type="gram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Start"/>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proofErr w:type="gram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Start"/>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proofErr w:type="gram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deg</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lastRenderedPageBreak/>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 xml:space="preserve">s one only has the radian unit in right ascension (ra)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(using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job</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w:t>
      </w:r>
      <w:proofErr w:type="gramStart"/>
      <w:r w:rsidRPr="00EB0F0F">
        <w:rPr>
          <w:rFonts w:ascii="Consolas" w:eastAsia="굴림체" w:hAnsi="Consolas" w:cs="굴림체"/>
          <w:color w:val="000000"/>
          <w:kern w:val="0"/>
          <w:sz w:val="18"/>
          <w:szCs w:val="18"/>
        </w:rPr>
        <w:t>async</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b/>
          <w:bCs/>
          <w:color w:val="000000"/>
          <w:kern w:val="0"/>
          <w:sz w:val="18"/>
          <w:szCs w:val="18"/>
        </w:rPr>
        <w:t>)</w:t>
      </w:r>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cols</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'ra'</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'parallax'</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pmra</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cols</w:t>
      </w:r>
      <w:proofErr w:type="gramStart"/>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proofErr w:type="gram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lastRenderedPageBreak/>
        <w:t xml:space="preserve"> (without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w:t>
      </w:r>
      <w:proofErr w:type="gramStart"/>
      <w:r w:rsidRPr="00EB0F0F">
        <w:rPr>
          <w:rFonts w:ascii="Consolas" w:eastAsia="굴림체" w:hAnsi="Consolas" w:cs="굴림체"/>
          <w:color w:val="4E9A06"/>
          <w:kern w:val="0"/>
          <w:sz w:val="18"/>
          <w:szCs w:val="18"/>
        </w:rPr>
        <w:t>results.fits</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r>
        <w:rPr>
          <w:rFonts w:ascii="Arial" w:hAnsi="Arial" w:cs="Arial" w:hint="eastAsia"/>
          <w:szCs w:val="20"/>
        </w:rPr>
        <w:t>ra</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'ra'</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3166B">
        <w:rPr>
          <w:rFonts w:ascii="Consolas" w:hAnsi="Consolas" w:cs="Arial"/>
          <w:sz w:val="18"/>
          <w:szCs w:val="18"/>
        </w:rPr>
        <w:t>ra :</w:t>
      </w:r>
      <w:proofErr w:type="gramEnd"/>
      <w:r w:rsidRPr="0023166B">
        <w:rPr>
          <w:rFonts w:ascii="Consolas" w:hAnsi="Consolas" w:cs="Arial"/>
          <w:sz w:val="18"/>
          <w:szCs w:val="18"/>
        </w:rPr>
        <w:t xml:space="preserve"> [12.09832966 12.14694473 12.05460389 ...  6.15840244 11.71137094  10.89179821] deg</w:t>
      </w:r>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deg</w:t>
      </w:r>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'ra'</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ra</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deg</w:t>
      </w:r>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proofErr w:type="gram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lastRenderedPageBreak/>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proofErr w:type="gramEnd"/>
      <w:r w:rsidRPr="005C2C26">
        <w:rPr>
          <w:rFonts w:ascii="Consolas" w:eastAsia="굴림체" w:hAnsi="Consolas" w:cs="굴림체"/>
          <w:b/>
          <w:bCs/>
          <w:color w:val="000000"/>
          <w:kern w:val="0"/>
          <w:sz w:val="18"/>
          <w:szCs w:val="18"/>
        </w:rPr>
        <w:t>(</w:t>
      </w:r>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[kpc]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r w:rsidR="00654AEC" w:rsidRPr="00654AEC">
        <w:rPr>
          <w:rFonts w:ascii="Arial" w:hAnsi="Arial" w:cs="Arial"/>
          <w:szCs w:val="20"/>
        </w:rPr>
        <w:t>parallax(</w:t>
      </w:r>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4. 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insert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catalog of the stars queried from Gaia in above codes has the parallax information in milliarcsecond unit, which means that from this query, distance object can be created. Then, passing the distance values from distance object to the initializer allows to represent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lastRenderedPageBreak/>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get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pass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ra</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'ra'</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ra</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1109.14781668</w:t>
      </w:r>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Visualize above values by utilizing the matplotlib.</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proofErr w:type="gram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proofErr w:type="gram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cs</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proofErr w:type="gram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proofErr w:type="spell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proofErr w:type="gram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cs</w:t>
      </w:r>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[deg]'</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[deg]'</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lastRenderedPageBreak/>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w:t>
      </w:r>
      <w:proofErr w:type="gramStart"/>
      <w:r w:rsidRPr="00664425">
        <w:rPr>
          <w:rFonts w:ascii="Consolas" w:eastAsia="굴림체" w:hAnsi="Consolas" w:cs="굴림체"/>
          <w:color w:val="000000"/>
          <w:kern w:val="0"/>
          <w:sz w:val="18"/>
          <w:szCs w:val="18"/>
        </w:rPr>
        <w:t>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w:t>
      </w:r>
      <w:proofErr w:type="gramEnd"/>
      <w:r w:rsidRPr="00664425">
        <w:rPr>
          <w:rFonts w:ascii="Consolas" w:eastAsia="굴림체" w:hAnsi="Consolas" w:cs="굴림체"/>
          <w:color w:val="000000"/>
          <w:kern w:val="0"/>
          <w:sz w:val="18"/>
          <w:szCs w:val="18"/>
        </w:rPr>
        <w:t>_3d</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206F8">
        <w:rPr>
          <w:rFonts w:ascii="Consolas" w:eastAsia="굴림체" w:hAnsi="Consolas" w:cs="굴림체"/>
          <w:color w:val="000000"/>
          <w:kern w:val="0"/>
          <w:sz w:val="18"/>
          <w:szCs w:val="18"/>
        </w:rPr>
        <w:t>ngc188_3d_mask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r w:rsidRPr="002206F8">
        <w:rPr>
          <w:rFonts w:ascii="Consolas" w:eastAsia="굴림체" w:hAnsi="Consolas" w:cs="굴림체"/>
          <w:b/>
          <w:bCs/>
          <w:color w:val="000000"/>
          <w:kern w:val="0"/>
          <w:sz w:val="18"/>
          <w:szCs w:val="18"/>
        </w:rPr>
        <w:t>)</w:t>
      </w:r>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206F8">
        <w:rPr>
          <w:rFonts w:ascii="Consolas" w:eastAsia="굴림체" w:hAnsi="Consolas" w:cs="굴림체"/>
          <w:color w:val="000000"/>
          <w:kern w:val="0"/>
          <w:sz w:val="18"/>
          <w:szCs w:val="18"/>
        </w:rPr>
        <w:t>ngc188_3d_mask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r w:rsidRPr="002206F8">
        <w:rPr>
          <w:rFonts w:ascii="Consolas" w:eastAsia="굴림체" w:hAnsi="Consolas" w:cs="굴림체"/>
          <w:b/>
          <w:bCs/>
          <w:color w:val="000000"/>
          <w:kern w:val="0"/>
          <w:sz w:val="18"/>
          <w:szCs w:val="18"/>
        </w:rPr>
        <w:t>)</w:t>
      </w:r>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szCs w:val="20"/>
        </w:rPr>
      </w:pPr>
    </w:p>
    <w:p w14:paraId="31FBE285" w14:textId="77777777" w:rsidR="002206F8" w:rsidRDefault="002206F8" w:rsidP="00F74F27">
      <w:pPr>
        <w:rPr>
          <w:rFonts w:ascii="Arial" w:hAnsi="Arial" w:cs="Arial"/>
          <w:szCs w:val="20"/>
        </w:rPr>
      </w:pPr>
    </w:p>
    <w:p w14:paraId="4040C5BC" w14:textId="77777777" w:rsidR="00664425" w:rsidRDefault="00664425" w:rsidP="00F74F27">
      <w:pP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15:restartNumberingAfterBreak="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15:restartNumberingAfterBreak="0">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15:restartNumberingAfterBreak="0">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15:restartNumberingAfterBreak="0">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15:restartNumberingAfterBreak="0">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15:restartNumberingAfterBreak="0">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15:restartNumberingAfterBreak="0">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15:restartNumberingAfterBreak="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15:restartNumberingAfterBreak="0">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4E"/>
    <w:rsid w:val="0003644A"/>
    <w:rsid w:val="00087938"/>
    <w:rsid w:val="00090189"/>
    <w:rsid w:val="000D1EEF"/>
    <w:rsid w:val="0011096D"/>
    <w:rsid w:val="00126B08"/>
    <w:rsid w:val="00131916"/>
    <w:rsid w:val="00147D71"/>
    <w:rsid w:val="0015032F"/>
    <w:rsid w:val="001A1EED"/>
    <w:rsid w:val="001A72B9"/>
    <w:rsid w:val="001F2A71"/>
    <w:rsid w:val="002206F8"/>
    <w:rsid w:val="00221313"/>
    <w:rsid w:val="0023166B"/>
    <w:rsid w:val="002621B9"/>
    <w:rsid w:val="0027307A"/>
    <w:rsid w:val="00274933"/>
    <w:rsid w:val="00282176"/>
    <w:rsid w:val="002836E9"/>
    <w:rsid w:val="0029308A"/>
    <w:rsid w:val="002B7B05"/>
    <w:rsid w:val="00307DCB"/>
    <w:rsid w:val="003E1749"/>
    <w:rsid w:val="0040394C"/>
    <w:rsid w:val="004148A3"/>
    <w:rsid w:val="0042207B"/>
    <w:rsid w:val="00447AB8"/>
    <w:rsid w:val="004750C0"/>
    <w:rsid w:val="004A5126"/>
    <w:rsid w:val="004A5AF4"/>
    <w:rsid w:val="004D0073"/>
    <w:rsid w:val="004E37EC"/>
    <w:rsid w:val="00526DA3"/>
    <w:rsid w:val="005707BF"/>
    <w:rsid w:val="0059082D"/>
    <w:rsid w:val="0059775F"/>
    <w:rsid w:val="005C2C26"/>
    <w:rsid w:val="005D684B"/>
    <w:rsid w:val="005E0B31"/>
    <w:rsid w:val="005E116C"/>
    <w:rsid w:val="00630CB0"/>
    <w:rsid w:val="00654AEC"/>
    <w:rsid w:val="00664425"/>
    <w:rsid w:val="00682393"/>
    <w:rsid w:val="006A4998"/>
    <w:rsid w:val="006C6EA7"/>
    <w:rsid w:val="006D1750"/>
    <w:rsid w:val="007057C4"/>
    <w:rsid w:val="00744563"/>
    <w:rsid w:val="0075587A"/>
    <w:rsid w:val="00755B52"/>
    <w:rsid w:val="007A1C05"/>
    <w:rsid w:val="007C7274"/>
    <w:rsid w:val="007E5B12"/>
    <w:rsid w:val="007F4571"/>
    <w:rsid w:val="00802930"/>
    <w:rsid w:val="00830A3A"/>
    <w:rsid w:val="00831201"/>
    <w:rsid w:val="00835C1C"/>
    <w:rsid w:val="0083602B"/>
    <w:rsid w:val="008B5195"/>
    <w:rsid w:val="008C0B51"/>
    <w:rsid w:val="008C4D8D"/>
    <w:rsid w:val="008D3D2C"/>
    <w:rsid w:val="009348CF"/>
    <w:rsid w:val="0095466A"/>
    <w:rsid w:val="00973748"/>
    <w:rsid w:val="0099760C"/>
    <w:rsid w:val="009E20B6"/>
    <w:rsid w:val="009F0616"/>
    <w:rsid w:val="009F0DBB"/>
    <w:rsid w:val="009F2D03"/>
    <w:rsid w:val="00A06783"/>
    <w:rsid w:val="00A15944"/>
    <w:rsid w:val="00A34A07"/>
    <w:rsid w:val="00A54C12"/>
    <w:rsid w:val="00A6116D"/>
    <w:rsid w:val="00B250DA"/>
    <w:rsid w:val="00B37FA6"/>
    <w:rsid w:val="00B41A7D"/>
    <w:rsid w:val="00B522FF"/>
    <w:rsid w:val="00B80472"/>
    <w:rsid w:val="00BE0352"/>
    <w:rsid w:val="00C13537"/>
    <w:rsid w:val="00C26BF6"/>
    <w:rsid w:val="00C71FC6"/>
    <w:rsid w:val="00C81FD9"/>
    <w:rsid w:val="00CD1BA1"/>
    <w:rsid w:val="00D2734A"/>
    <w:rsid w:val="00D572B4"/>
    <w:rsid w:val="00DD5C04"/>
    <w:rsid w:val="00DD6D43"/>
    <w:rsid w:val="00DE769B"/>
    <w:rsid w:val="00E13C3A"/>
    <w:rsid w:val="00E16797"/>
    <w:rsid w:val="00E44739"/>
    <w:rsid w:val="00E54655"/>
    <w:rsid w:val="00E6164E"/>
    <w:rsid w:val="00E91097"/>
    <w:rsid w:val="00E9443A"/>
    <w:rsid w:val="00EB0F0F"/>
    <w:rsid w:val="00EB1EF1"/>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15:docId w15:val="{64CCAFF8-1A9A-4A19-9D64-65A14E03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astropy.org/rst-tutorials/1-Coordinates-Intro.html?highlight=filtertutorials" TargetMode="External"/><Relationship Id="rId3" Type="http://schemas.openxmlformats.org/officeDocument/2006/relationships/settings" Target="settings.xml"/><Relationship Id="rId7" Type="http://schemas.openxmlformats.org/officeDocument/2006/relationships/hyperlink" Target="https://en.wikipedia.org/wiki/Equatorial_coordinate_syste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cliptic_coordinate_system" TargetMode="External"/><Relationship Id="rId14" Type="http://schemas.openxmlformats.org/officeDocument/2006/relationships/hyperlink" Target="https://learn.astropy.org/rst-tutorials/2-Coordinates-Transform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21</Pages>
  <Words>3658</Words>
  <Characters>20856</Characters>
  <Application>Microsoft Office Word</Application>
  <DocSecurity>0</DocSecurity>
  <Lines>173</Lines>
  <Paragraphs>48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Administrator</cp:lastModifiedBy>
  <cp:revision>15</cp:revision>
  <dcterms:created xsi:type="dcterms:W3CDTF">2021-09-07T12:58:00Z</dcterms:created>
  <dcterms:modified xsi:type="dcterms:W3CDTF">2021-09-24T15:02:00Z</dcterms:modified>
</cp:coreProperties>
</file>