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Character Brief: The Replacement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Name: Karl Franks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Age: 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Career: Journalist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Hometown: Washington DC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Education: Masters in Journalism from Columbia University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was not the original invite. Josh Roberson was. And then, suddenly, I was told I’d be covering the retirement celebration of Ambassador Charles Whitmore instead. Curious.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I’m the junior man at The New York Times, but I’m also the hungriest to advance my career. I didn’t claw my way through Columbia’s journalism program and late-night union meetings just to write glowing retirement pieces about shady diplomats and their legacy speeches. I’m politically active — openly sympathetic to socialist movements and quietly affiliated with the American Communist Party. I believe men like Ambassador Whitmore are the architects of global suffering: covert arms negotiations, proxy wars, secret alliances dressed up as diplomacy and sold to the public as “peace.”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don’t trust him. I don’t like him. And I want the world to know the Ambassador Whitmore I suspect he is. If there’s dirt to be found tonight, I will find it. I’m observant. I take mental notes. I read people. Unlike most of the guests here, I’m not dazzled by gold-trimmed invitations or crystal chandeliers. I’m here to watch. To listen. To connect the threads.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I’ve heard rumors that Josh had been digging into Whitmore’s story, now he’s reassigned? Interesting timing.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Tell a career-defining story for the world to hear. When everyone is gathered for the toast to the ambassador, you must make a speech with all the evidence you have collected.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Connections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None, you weren’t supposed to be here.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